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1BE2A" w14:textId="77777777" w:rsidR="00BD15F0" w:rsidRPr="00BD15F0" w:rsidRDefault="00BD15F0" w:rsidP="00BD15F0">
      <w:pPr>
        <w:spacing w:before="120" w:after="120" w:line="240" w:lineRule="auto"/>
        <w:rPr>
          <w:rFonts w:cs="Arial"/>
        </w:rPr>
      </w:pPr>
      <w:bookmarkStart w:id="0" w:name="_Hlk156397808"/>
      <w:r w:rsidRPr="00BD15F0">
        <w:rPr>
          <w:rFonts w:cs="Arial"/>
        </w:rPr>
        <w:t xml:space="preserve">13/02/2025 </w:t>
      </w:r>
    </w:p>
    <w:p w14:paraId="69C91990" w14:textId="77777777" w:rsidR="00BD15F0" w:rsidRPr="00BD15F0" w:rsidRDefault="00BD15F0" w:rsidP="00BD15F0">
      <w:pPr>
        <w:spacing w:before="120" w:after="120" w:line="240" w:lineRule="auto"/>
        <w:rPr>
          <w:rFonts w:cs="Arial"/>
          <w:b/>
          <w:bCs/>
          <w:sz w:val="28"/>
          <w:szCs w:val="28"/>
        </w:rPr>
      </w:pPr>
      <w:r w:rsidRPr="00BD15F0">
        <w:rPr>
          <w:rFonts w:cs="Arial"/>
          <w:b/>
          <w:bCs/>
          <w:sz w:val="28"/>
          <w:szCs w:val="28"/>
        </w:rPr>
        <w:t>THỊ TRƯỜNG BẤT ĐỘNG SẢN VIỆT NAM 2024, TRIỂN VỌNG 2025</w:t>
      </w:r>
    </w:p>
    <w:p w14:paraId="62E68E04" w14:textId="49682C93" w:rsidR="00BD15F0" w:rsidRDefault="00BD15F0" w:rsidP="00BD15F0">
      <w:pPr>
        <w:spacing w:before="120" w:after="120" w:line="240" w:lineRule="auto"/>
        <w:rPr>
          <w:rFonts w:cs="Arial"/>
          <w:b/>
          <w:bCs/>
        </w:rPr>
      </w:pPr>
      <w:bookmarkStart w:id="1" w:name="_Hlk156397850"/>
      <w:r w:rsidRPr="00BD15F0">
        <w:rPr>
          <w:rFonts w:cs="Arial"/>
          <w:b/>
          <w:bCs/>
        </w:rPr>
        <w:t xml:space="preserve">Với những thông tin chi </w:t>
      </w:r>
      <w:r w:rsidRPr="00E22BE8">
        <w:rPr>
          <w:rFonts w:cs="Arial"/>
          <w:b/>
          <w:bCs/>
        </w:rPr>
        <w:t xml:space="preserve">tiết về toàn cảnh thị trường bất động sản Việt Nam, báo cáo thị trường lần này của Savills mang đến cái nhìn sắc nét về diễn biến của ngành trong </w:t>
      </w:r>
      <w:r w:rsidR="008968AD" w:rsidRPr="00E22BE8">
        <w:rPr>
          <w:rFonts w:cs="Arial"/>
          <w:b/>
          <w:bCs/>
        </w:rPr>
        <w:t xml:space="preserve">bối cảnh </w:t>
      </w:r>
      <w:r w:rsidR="00F0579F" w:rsidRPr="00E22BE8">
        <w:rPr>
          <w:rFonts w:cs="Arial"/>
          <w:b/>
          <w:bCs/>
        </w:rPr>
        <w:t xml:space="preserve">kinh tế Việt Nam có sức phục hồi mạnh mẽ trước những khó khăn </w:t>
      </w:r>
      <w:r w:rsidR="00F63A4F" w:rsidRPr="00E22BE8">
        <w:rPr>
          <w:rFonts w:cs="Arial"/>
          <w:b/>
          <w:bCs/>
        </w:rPr>
        <w:t>toàn cầu</w:t>
      </w:r>
      <w:r w:rsidRPr="00E22BE8">
        <w:rPr>
          <w:rFonts w:cs="Arial"/>
          <w:b/>
          <w:bCs/>
        </w:rPr>
        <w:t xml:space="preserve">. Báo cáo tập trung vào </w:t>
      </w:r>
      <w:r w:rsidRPr="00BD15F0">
        <w:rPr>
          <w:rFonts w:cs="Arial"/>
          <w:b/>
          <w:bCs/>
        </w:rPr>
        <w:t>hai thành phố lớn là Hà Nội và TP.HCM ở các phân khúc nhà ở, thương mại và khách sạn</w:t>
      </w:r>
      <w:r w:rsidR="00BE17D2">
        <w:rPr>
          <w:rFonts w:cs="Arial"/>
          <w:b/>
          <w:bCs/>
        </w:rPr>
        <w:t xml:space="preserve">, với thông tin về </w:t>
      </w:r>
      <w:r w:rsidRPr="00BD15F0">
        <w:rPr>
          <w:rFonts w:cs="Arial"/>
          <w:b/>
          <w:bCs/>
        </w:rPr>
        <w:t>tình hình hoạt động</w:t>
      </w:r>
      <w:bookmarkEnd w:id="1"/>
      <w:r w:rsidRPr="00BD15F0">
        <w:rPr>
          <w:rFonts w:cs="Arial"/>
          <w:b/>
          <w:bCs/>
        </w:rPr>
        <w:t xml:space="preserve"> </w:t>
      </w:r>
      <w:r w:rsidR="00BE17D2">
        <w:rPr>
          <w:rFonts w:cs="Arial"/>
          <w:b/>
          <w:bCs/>
        </w:rPr>
        <w:t>cũng như</w:t>
      </w:r>
      <w:r w:rsidRPr="00BD15F0">
        <w:rPr>
          <w:rFonts w:cs="Arial"/>
          <w:b/>
          <w:bCs/>
        </w:rPr>
        <w:t xml:space="preserve"> triển vọng của </w:t>
      </w:r>
      <w:r w:rsidR="00BE17D2">
        <w:rPr>
          <w:rFonts w:cs="Arial"/>
          <w:b/>
          <w:bCs/>
        </w:rPr>
        <w:t>mỗi phân khúc trong</w:t>
      </w:r>
      <w:r w:rsidRPr="00BD15F0">
        <w:rPr>
          <w:rFonts w:cs="Arial"/>
          <w:b/>
          <w:bCs/>
        </w:rPr>
        <w:t xml:space="preserve"> năm 2025.</w:t>
      </w:r>
    </w:p>
    <w:p w14:paraId="71F569DC" w14:textId="510B37E2" w:rsidR="006F29AB" w:rsidRDefault="006F29AB" w:rsidP="00BD15F0">
      <w:pPr>
        <w:spacing w:before="120" w:after="120" w:line="240" w:lineRule="auto"/>
        <w:rPr>
          <w:rFonts w:cs="Arial"/>
          <w:b/>
          <w:bCs/>
        </w:rPr>
      </w:pPr>
      <w:r>
        <w:rPr>
          <w:rFonts w:cs="Arial"/>
          <w:b/>
          <w:bCs/>
        </w:rPr>
        <w:t>Tổng quan Vĩ mô</w:t>
      </w:r>
    </w:p>
    <w:p w14:paraId="4E557D9C" w14:textId="32F2CCE3" w:rsidR="00366A20" w:rsidRPr="00F63A4F" w:rsidRDefault="00CA1B3F" w:rsidP="00BD15F0">
      <w:pPr>
        <w:spacing w:before="120" w:after="120" w:line="240" w:lineRule="auto"/>
        <w:rPr>
          <w:rFonts w:cs="Arial"/>
        </w:rPr>
      </w:pPr>
      <w:r w:rsidRPr="00F63A4F">
        <w:rPr>
          <w:rFonts w:cs="Arial"/>
        </w:rPr>
        <w:t>Năm 20</w:t>
      </w:r>
      <w:r w:rsidR="003444CF" w:rsidRPr="00F63A4F">
        <w:rPr>
          <w:rFonts w:cs="Arial"/>
        </w:rPr>
        <w:t>24, bất chấp các khó khăn kinh tế toàn cầu</w:t>
      </w:r>
      <w:r w:rsidR="00DE06C5" w:rsidRPr="00F63A4F">
        <w:rPr>
          <w:rFonts w:cs="Arial"/>
        </w:rPr>
        <w:t xml:space="preserve">, nền kinh tế Việt Nam vẫn phát triển mạnh mẽ với GDP tăng trưởng </w:t>
      </w:r>
      <w:r w:rsidR="00DE0D04" w:rsidRPr="00F63A4F">
        <w:rPr>
          <w:rFonts w:cs="Arial"/>
        </w:rPr>
        <w:t>7,1%, vượt mục tiêu Quốc hội đề ra là 6,5</w:t>
      </w:r>
      <w:r w:rsidR="00212547">
        <w:rPr>
          <w:rFonts w:cs="Arial"/>
        </w:rPr>
        <w:t>-</w:t>
      </w:r>
      <w:r w:rsidR="00DE0D04" w:rsidRPr="00F63A4F">
        <w:rPr>
          <w:rFonts w:cs="Arial"/>
        </w:rPr>
        <w:t>7%.</w:t>
      </w:r>
    </w:p>
    <w:p w14:paraId="2B12E5F4" w14:textId="092F3C41" w:rsidR="00DD3895" w:rsidRPr="00F63A4F" w:rsidRDefault="00DD3895" w:rsidP="00BD15F0">
      <w:pPr>
        <w:spacing w:before="120" w:after="120" w:line="240" w:lineRule="auto"/>
        <w:rPr>
          <w:rFonts w:cs="Arial"/>
        </w:rPr>
      </w:pPr>
      <w:r w:rsidRPr="00F63A4F">
        <w:rPr>
          <w:rFonts w:cs="Arial"/>
        </w:rPr>
        <w:t>Tổng số vốn đầu tư trực tiếp nước ngoài (FD</w:t>
      </w:r>
      <w:r w:rsidR="00007631">
        <w:rPr>
          <w:rFonts w:cs="Arial"/>
        </w:rPr>
        <w:t>I</w:t>
      </w:r>
      <w:r w:rsidRPr="00F63A4F">
        <w:rPr>
          <w:rFonts w:cs="Arial"/>
        </w:rPr>
        <w:t xml:space="preserve">) đăng ký đạt 38 tỷ USD, giảm 3% </w:t>
      </w:r>
      <w:r w:rsidR="008B0E52" w:rsidRPr="00F63A4F">
        <w:rPr>
          <w:rFonts w:cs="Arial"/>
        </w:rPr>
        <w:t xml:space="preserve">theo năm, vốn FDI giải ngân </w:t>
      </w:r>
      <w:r w:rsidR="00F34854" w:rsidRPr="00F63A4F">
        <w:rPr>
          <w:rFonts w:cs="Arial"/>
        </w:rPr>
        <w:t xml:space="preserve">tăng </w:t>
      </w:r>
      <w:r w:rsidR="007B0723" w:rsidRPr="00F63A4F">
        <w:rPr>
          <w:rFonts w:cs="Arial"/>
        </w:rPr>
        <w:t xml:space="preserve">theo năm đạt 25 tỷ USD. </w:t>
      </w:r>
      <w:r w:rsidR="008B0E52" w:rsidRPr="00F63A4F">
        <w:rPr>
          <w:rFonts w:cs="Arial"/>
        </w:rPr>
        <w:t xml:space="preserve"> </w:t>
      </w:r>
      <w:r w:rsidR="0074616E" w:rsidRPr="00F63A4F">
        <w:rPr>
          <w:rFonts w:cs="Arial"/>
        </w:rPr>
        <w:t xml:space="preserve">Ngành công nghiệp chế biển. chế tạo dẫn đầu với 68% vốn đăng ký mới, tiếp theo là bất động sản với 19%. </w:t>
      </w:r>
    </w:p>
    <w:p w14:paraId="7B9E97A6" w14:textId="23B5237E" w:rsidR="005067F8" w:rsidRPr="00F63A4F" w:rsidRDefault="00663DCB" w:rsidP="00BD15F0">
      <w:pPr>
        <w:spacing w:before="120" w:after="120" w:line="240" w:lineRule="auto"/>
        <w:rPr>
          <w:rFonts w:cs="Arial"/>
        </w:rPr>
      </w:pPr>
      <w:r w:rsidRPr="00F63A4F">
        <w:rPr>
          <w:rFonts w:cs="Arial"/>
        </w:rPr>
        <w:t xml:space="preserve">Số doanh nghiệp thành lập mới và quay trở lại hoạt động tăng 7% theo năm đạt 233.400, trong khi dố doanh nghiệp rút lui khỏi thị trường tăng 15% đạt 197.900. </w:t>
      </w:r>
    </w:p>
    <w:p w14:paraId="0AFE2404" w14:textId="24A264BD" w:rsidR="00DE0D04" w:rsidRPr="00F63A4F" w:rsidRDefault="00663DCB" w:rsidP="00BD15F0">
      <w:pPr>
        <w:spacing w:before="120" w:after="120" w:line="240" w:lineRule="auto"/>
        <w:rPr>
          <w:rFonts w:cs="Arial"/>
        </w:rPr>
      </w:pPr>
      <w:r w:rsidRPr="00F63A4F">
        <w:rPr>
          <w:rFonts w:cs="Arial"/>
        </w:rPr>
        <w:t xml:space="preserve">Việt Nam </w:t>
      </w:r>
      <w:r w:rsidR="00B50E3C" w:rsidRPr="00F63A4F">
        <w:rPr>
          <w:rFonts w:cs="Arial"/>
        </w:rPr>
        <w:t xml:space="preserve">đón </w:t>
      </w:r>
      <w:r w:rsidR="00CF5EE5" w:rsidRPr="00F63A4F">
        <w:rPr>
          <w:rFonts w:cs="Arial"/>
        </w:rPr>
        <w:t xml:space="preserve">17,6 triệu lượt khách quốc tế, tăng 40% theo năm. </w:t>
      </w:r>
      <w:r w:rsidR="00C31770">
        <w:rPr>
          <w:rFonts w:cs="Arial"/>
        </w:rPr>
        <w:t>Doanh</w:t>
      </w:r>
      <w:r w:rsidR="00CF5EE5" w:rsidRPr="00F63A4F">
        <w:rPr>
          <w:rFonts w:cs="Arial"/>
        </w:rPr>
        <w:t xml:space="preserve"> thu bán lẻ hàng hóa </w:t>
      </w:r>
      <w:r w:rsidR="00FE01FB" w:rsidRPr="00F63A4F">
        <w:rPr>
          <w:rFonts w:cs="Arial"/>
        </w:rPr>
        <w:t>và dịch vụ tăng 6%</w:t>
      </w:r>
      <w:r w:rsidR="004E6E07" w:rsidRPr="00F63A4F">
        <w:rPr>
          <w:rFonts w:cs="Arial"/>
        </w:rPr>
        <w:t xml:space="preserve"> đạt </w:t>
      </w:r>
      <w:r w:rsidR="004C408B" w:rsidRPr="00F63A4F">
        <w:rPr>
          <w:rFonts w:cs="Arial"/>
        </w:rPr>
        <w:t xml:space="preserve">256 tỷ USD. Chỉ số giá tiêu dung (CPI) tăng 3,6% </w:t>
      </w:r>
      <w:r w:rsidR="0097524C">
        <w:rPr>
          <w:rFonts w:cs="Arial"/>
        </w:rPr>
        <w:t>theo</w:t>
      </w:r>
      <w:r w:rsidR="004C408B" w:rsidRPr="00F63A4F">
        <w:rPr>
          <w:rFonts w:cs="Arial"/>
        </w:rPr>
        <w:t xml:space="preserve"> năm, trong khi lạm phát cơ bản tăng 2,7%. </w:t>
      </w:r>
    </w:p>
    <w:p w14:paraId="41E30E16" w14:textId="77777777" w:rsidR="00BD15F0" w:rsidRPr="00BD15F0" w:rsidRDefault="00BD15F0" w:rsidP="00BD15F0">
      <w:pPr>
        <w:spacing w:before="120" w:after="120" w:line="240" w:lineRule="auto"/>
        <w:rPr>
          <w:rFonts w:cs="Arial"/>
          <w:b/>
          <w:bCs/>
        </w:rPr>
      </w:pPr>
      <w:r w:rsidRPr="00BD15F0">
        <w:rPr>
          <w:rFonts w:cs="Arial"/>
          <w:b/>
          <w:bCs/>
        </w:rPr>
        <w:t xml:space="preserve">Bất động sản Nhà ở </w:t>
      </w:r>
    </w:p>
    <w:p w14:paraId="3EA04BA4" w14:textId="77777777" w:rsidR="00BD15F0" w:rsidRPr="00BD15F0" w:rsidRDefault="00BD15F0" w:rsidP="00BD15F0">
      <w:pPr>
        <w:spacing w:before="120" w:after="120" w:line="240" w:lineRule="auto"/>
        <w:rPr>
          <w:rFonts w:cs="Arial"/>
          <w:b/>
          <w:bCs/>
        </w:rPr>
      </w:pPr>
      <w:r w:rsidRPr="00BD15F0">
        <w:rPr>
          <w:rFonts w:cs="Arial"/>
          <w:b/>
          <w:bCs/>
        </w:rPr>
        <w:t xml:space="preserve">Căn hộ </w:t>
      </w:r>
    </w:p>
    <w:p w14:paraId="2682B0C4" w14:textId="3BE2C1F8" w:rsidR="00BD15F0" w:rsidRPr="00BD15F0" w:rsidRDefault="00BD15F0" w:rsidP="00BD15F0">
      <w:pPr>
        <w:pStyle w:val="BodyText"/>
        <w:spacing w:before="120" w:after="120"/>
        <w:ind w:right="130"/>
        <w:jc w:val="both"/>
      </w:pPr>
      <w:r w:rsidRPr="00BD15F0">
        <w:t>Tại Hà Nội, căn hộ ghi nhận lượng mở bán cao nhất từ 2020. Nguồn cung mới trong Q4/2024 đạt 12.972 căn</w:t>
      </w:r>
      <w:r w:rsidR="00EE7585">
        <w:t>,</w:t>
      </w:r>
      <w:r w:rsidRPr="00BD15F0">
        <w:t xml:space="preserve"> tăng mạnh 146% theo quý và 351% theo năm. Nguồn cung sơ cấp đạt 16.629 căn, tăng 58% theo quý và 40% theo năm. </w:t>
      </w:r>
      <w:r w:rsidRPr="00BD15F0">
        <w:rPr>
          <w:lang w:val="vi-VN"/>
        </w:rPr>
        <w:t xml:space="preserve">Trong năm 2024, tổng nguồn cung mới đạt 24.996 căn, cao nhất trong 5 năm vừa qua. </w:t>
      </w:r>
    </w:p>
    <w:p w14:paraId="7EC40F0A" w14:textId="77777777" w:rsidR="00BD15F0" w:rsidRPr="00BD15F0" w:rsidRDefault="00BD15F0" w:rsidP="00BD15F0">
      <w:pPr>
        <w:pStyle w:val="BodyText"/>
        <w:spacing w:before="120" w:after="120"/>
        <w:ind w:right="130"/>
        <w:jc w:val="both"/>
        <w:rPr>
          <w:lang w:val="vi"/>
        </w:rPr>
      </w:pPr>
      <w:r w:rsidRPr="00BD15F0">
        <w:rPr>
          <w:lang w:val="vi"/>
        </w:rPr>
        <w:t xml:space="preserve">Tình hình bán hàng trong Q4/2024 sôi nổi với 13.401 căn bán được, tăng 96% theo quý và 340% theo năm. Nguồn cung mới chiếm 83% số lượng căn bán được và đạt tỷ lệ hấp thụ 85% nhờ có pháp lý rõ ràng và chủ đầu tư uy tín. </w:t>
      </w:r>
      <w:r w:rsidRPr="00BD15F0">
        <w:rPr>
          <w:lang w:val="vi-VN"/>
        </w:rPr>
        <w:t xml:space="preserve">Giá chào bán sơ cấp đạt 75 triệu VNĐ/m², tăng 9% theo quý và 29% theo năm. </w:t>
      </w:r>
    </w:p>
    <w:p w14:paraId="4281E98B" w14:textId="113274C0" w:rsidR="00BD15F0" w:rsidRPr="00BD15F0" w:rsidRDefault="008C3EAB" w:rsidP="00BD15F0">
      <w:pPr>
        <w:pStyle w:val="BodyText"/>
        <w:spacing w:before="120" w:after="120"/>
        <w:ind w:right="130"/>
        <w:jc w:val="both"/>
        <w:rPr>
          <w:lang w:val="vi"/>
        </w:rPr>
      </w:pPr>
      <w:r w:rsidRPr="008C3EAB">
        <w:rPr>
          <w:lang w:val="vi"/>
        </w:rPr>
        <w:t>T</w:t>
      </w:r>
      <w:r w:rsidR="00BD15F0" w:rsidRPr="00BD15F0">
        <w:rPr>
          <w:lang w:val="vi"/>
        </w:rPr>
        <w:t xml:space="preserve">ình trạng thiếu hụt nguồn cung </w:t>
      </w:r>
      <w:r w:rsidRPr="008C3EAB">
        <w:rPr>
          <w:lang w:val="vi"/>
        </w:rPr>
        <w:t xml:space="preserve">tại thị trường Hà Nội </w:t>
      </w:r>
      <w:r w:rsidR="00BD15F0" w:rsidRPr="00BD15F0">
        <w:rPr>
          <w:lang w:val="vi"/>
        </w:rPr>
        <w:t>đang được cải thiện. Tuy nhiên, giá bán vẫn ở mức cao, phản ảnh nhu cầu của thị trường vẫn lớn. Nhu cầu nhà ở chủ yếu được thúc đẩy bởi người mua trong nước, với nhu cầu dài hạn được hỗ trợ bởi tỷ lệ nhập cư ròng dương và quá trình đô thị hóa.</w:t>
      </w:r>
    </w:p>
    <w:p w14:paraId="0CE95D87" w14:textId="6BB3022F" w:rsidR="00BD15F0" w:rsidRPr="00C31770" w:rsidRDefault="00BD15F0" w:rsidP="00BD15F0">
      <w:pPr>
        <w:pStyle w:val="BodyText"/>
        <w:spacing w:before="120" w:after="120"/>
        <w:ind w:right="130"/>
        <w:jc w:val="both"/>
        <w:rPr>
          <w:lang w:val="vi"/>
        </w:rPr>
      </w:pPr>
      <w:r w:rsidRPr="00BD15F0">
        <w:rPr>
          <w:lang w:val="vi"/>
        </w:rPr>
        <w:lastRenderedPageBreak/>
        <w:t>Triển vọng trong năm 2025, nguồn cung mới dự kiến gồm 25.</w:t>
      </w:r>
      <w:r w:rsidR="0072455D" w:rsidRPr="0072455D">
        <w:rPr>
          <w:lang w:val="vi"/>
        </w:rPr>
        <w:t>2</w:t>
      </w:r>
      <w:r w:rsidRPr="00BD15F0">
        <w:rPr>
          <w:lang w:val="vi"/>
        </w:rPr>
        <w:t xml:space="preserve">00 căn hộ. Hạng B tiếp tục dẫn đầu, chiếm 88% nguồn cung tương tai, các dự án đại đô thị sẽ chiếm 70% thị phần. Từ năm 2026 trở đi, khoảng 70.000 văn hộ từ 91 dự án sẽ được mở bán. Đông Anh, Hoài Đức và Hoàng Mai dự kiến sẽ đóng góp 52% thị phần. </w:t>
      </w:r>
    </w:p>
    <w:p w14:paraId="41C0425F" w14:textId="7DD47DAA" w:rsidR="00BD15F0" w:rsidRPr="00C31770" w:rsidRDefault="00BD15F0" w:rsidP="00BD15F0">
      <w:pPr>
        <w:spacing w:before="120" w:after="120" w:line="240" w:lineRule="auto"/>
        <w:rPr>
          <w:rFonts w:cs="Arial"/>
          <w:lang w:val="vi"/>
        </w:rPr>
      </w:pPr>
      <w:r w:rsidRPr="00C31770">
        <w:rPr>
          <w:rFonts w:cs="Arial"/>
          <w:lang w:val="vi"/>
        </w:rPr>
        <w:t>Tại TP. HCM, nguồn cung sơ c</w:t>
      </w:r>
      <w:r w:rsidR="00C36405" w:rsidRPr="00C31770">
        <w:rPr>
          <w:rFonts w:cs="Arial"/>
          <w:lang w:val="vi"/>
        </w:rPr>
        <w:t>ấp đạt khoảng 6.500 căn vào Q4/2024, tăng 35% theo quý nhưng giảm 13% theo năm.</w:t>
      </w:r>
      <w:r w:rsidR="000203F2" w:rsidRPr="00C31770">
        <w:rPr>
          <w:rFonts w:cs="Arial"/>
          <w:lang w:val="vi"/>
        </w:rPr>
        <w:t xml:space="preserve"> Năm 2024, nguồn cung sơ cấp tăng 10% theo năm lên gần 11.900 căn. </w:t>
      </w:r>
    </w:p>
    <w:p w14:paraId="07BF14ED" w14:textId="7B03C507" w:rsidR="00BD15F0" w:rsidRPr="00C31770" w:rsidRDefault="00D17B82" w:rsidP="00BD15F0">
      <w:pPr>
        <w:spacing w:before="120" w:after="120" w:line="240" w:lineRule="auto"/>
        <w:rPr>
          <w:rFonts w:cs="Arial"/>
          <w:lang w:val="vi"/>
        </w:rPr>
      </w:pPr>
      <w:r w:rsidRPr="00C31770">
        <w:rPr>
          <w:rFonts w:cs="Arial"/>
          <w:lang w:val="vi"/>
        </w:rPr>
        <w:t xml:space="preserve">Lượng bán Q4/2024 đạt 2.700 giao dịch, tăng 43% theo quý nhưng giảm 10% theo năm. </w:t>
      </w:r>
      <w:r w:rsidR="003A0380" w:rsidRPr="00C31770">
        <w:rPr>
          <w:rFonts w:cs="Arial"/>
          <w:lang w:val="vi"/>
        </w:rPr>
        <w:t xml:space="preserve">Giá trung bình đạt 91 triệu VNĐ/m2 thông thủy, tăng </w:t>
      </w:r>
      <w:r w:rsidR="00F02D3F" w:rsidRPr="00C31770">
        <w:rPr>
          <w:rFonts w:cs="Arial"/>
          <w:lang w:val="vi"/>
        </w:rPr>
        <w:t>36% theo quý và 33% theo năm, do nguồn cung mới giá cao và các dự án hiện hữu tăng giá bán.</w:t>
      </w:r>
    </w:p>
    <w:p w14:paraId="5AF1A27B" w14:textId="22E6BE7C" w:rsidR="007F3445" w:rsidRPr="00C31770" w:rsidRDefault="006128C4" w:rsidP="00BD15F0">
      <w:pPr>
        <w:spacing w:before="120" w:after="120" w:line="240" w:lineRule="auto"/>
        <w:rPr>
          <w:rFonts w:cs="Arial"/>
          <w:lang w:val="vi"/>
        </w:rPr>
      </w:pPr>
      <w:r w:rsidRPr="00C31770">
        <w:rPr>
          <w:rFonts w:cs="Arial"/>
          <w:lang w:val="vi"/>
        </w:rPr>
        <w:t>Căn hộ vừa túi tiền khan hiếm đã khiến những người mua có ngân sách vừa phải tìm đến các thị trường lân cận như Bình Dương, Đồng Nai và Long A</w:t>
      </w:r>
      <w:r w:rsidR="00C84862" w:rsidRPr="00C31770">
        <w:rPr>
          <w:rFonts w:cs="Arial"/>
          <w:lang w:val="vi"/>
        </w:rPr>
        <w:t xml:space="preserve">n. Sự dịch chuyển nguồn cầu đã thúc đẩy lượng giao dịch căn hộ Bình Dương tăng trưởng đáng kể, hơn 200% theo năm. </w:t>
      </w:r>
    </w:p>
    <w:p w14:paraId="22F77ECB" w14:textId="37C30927" w:rsidR="00C84862" w:rsidRPr="00C31770" w:rsidRDefault="00C84862" w:rsidP="00BD15F0">
      <w:pPr>
        <w:spacing w:before="120" w:after="120" w:line="240" w:lineRule="auto"/>
        <w:rPr>
          <w:rFonts w:cs="Arial"/>
          <w:lang w:val="vi"/>
        </w:rPr>
      </w:pPr>
      <w:r w:rsidRPr="00C31770">
        <w:rPr>
          <w:rFonts w:cs="Arial"/>
          <w:lang w:val="vi"/>
        </w:rPr>
        <w:t>Về triển vọng, đến 2027, nguồn cung tương lai tại TP.HCM đạt 46.000 căn đến từ 69 dự án. TP. Thủ Đức dự kiến chiếm 52%, Bình Tân chiếm 11% và Quận 7 chiếm 10%.</w:t>
      </w:r>
    </w:p>
    <w:tbl>
      <w:tblPr>
        <w:tblStyle w:val="TableGrid"/>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099"/>
      </w:tblGrid>
      <w:tr w:rsidR="008C3EAB" w14:paraId="643044BE" w14:textId="77777777" w:rsidTr="009758C5">
        <w:tc>
          <w:tcPr>
            <w:tcW w:w="3982" w:type="dxa"/>
          </w:tcPr>
          <w:p w14:paraId="038BD735" w14:textId="77777777" w:rsidR="008C3EAB" w:rsidRPr="00BD15F0" w:rsidRDefault="008C3EAB" w:rsidP="008C3EAB">
            <w:pPr>
              <w:pStyle w:val="BodyText"/>
              <w:spacing w:before="120" w:after="120"/>
              <w:ind w:right="130"/>
              <w:jc w:val="both"/>
              <w:rPr>
                <w:lang w:val="vi"/>
              </w:rPr>
            </w:pPr>
            <w:r w:rsidRPr="00BD15F0">
              <w:rPr>
                <w:i/>
                <w:iCs/>
                <w:lang w:val="vi"/>
              </w:rPr>
              <w:t>Tình hình hoạt động thị trường Căn hộ tại Hà Nội</w:t>
            </w:r>
          </w:p>
          <w:p w14:paraId="3C9041F5" w14:textId="233732CF" w:rsidR="008C3EAB" w:rsidRDefault="008C3EAB" w:rsidP="00BD15F0">
            <w:pPr>
              <w:spacing w:before="120" w:after="120" w:line="240" w:lineRule="auto"/>
              <w:rPr>
                <w:rFonts w:cs="Arial"/>
              </w:rPr>
            </w:pPr>
            <w:r w:rsidRPr="00BD15F0">
              <w:rPr>
                <w:rFonts w:cs="Arial"/>
                <w:noProof/>
                <w:lang w:val="vi-VN"/>
              </w:rPr>
              <w:drawing>
                <wp:inline distT="0" distB="0" distL="0" distR="0" wp14:anchorId="17A4E6CC" wp14:editId="2C36F168">
                  <wp:extent cx="2743200" cy="1641314"/>
                  <wp:effectExtent l="0" t="0" r="0" b="0"/>
                  <wp:docPr id="83663928" name="Picture 5" descr="A graph with a red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71579" name="Picture 5" descr="A graph with a red line and a lin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641314"/>
                          </a:xfrm>
                          <a:prstGeom prst="rect">
                            <a:avLst/>
                          </a:prstGeom>
                          <a:noFill/>
                        </pic:spPr>
                      </pic:pic>
                    </a:graphicData>
                  </a:graphic>
                </wp:inline>
              </w:drawing>
            </w:r>
          </w:p>
        </w:tc>
        <w:tc>
          <w:tcPr>
            <w:tcW w:w="4653" w:type="dxa"/>
          </w:tcPr>
          <w:p w14:paraId="036CD233" w14:textId="2C2B9D74" w:rsidR="008C3EAB" w:rsidRPr="008C3EAB" w:rsidRDefault="008C3EAB" w:rsidP="008C3EAB">
            <w:pPr>
              <w:pStyle w:val="BodyText"/>
              <w:spacing w:before="120" w:after="120"/>
              <w:ind w:right="130"/>
              <w:jc w:val="both"/>
              <w:rPr>
                <w:lang w:val="en-US"/>
              </w:rPr>
            </w:pPr>
            <w:r w:rsidRPr="00BD15F0">
              <w:rPr>
                <w:i/>
                <w:iCs/>
                <w:lang w:val="vi"/>
              </w:rPr>
              <w:t xml:space="preserve">Tình hình hoạt động thị trường Căn hộ tại </w:t>
            </w:r>
            <w:r>
              <w:rPr>
                <w:i/>
                <w:iCs/>
                <w:lang w:val="en-US"/>
              </w:rPr>
              <w:t>TP. HCM</w:t>
            </w:r>
          </w:p>
          <w:p w14:paraId="053F3065" w14:textId="261489B6" w:rsidR="008C3EAB" w:rsidRPr="008C3EAB" w:rsidRDefault="009758C5" w:rsidP="00BD15F0">
            <w:pPr>
              <w:spacing w:before="120" w:after="120" w:line="240" w:lineRule="auto"/>
              <w:rPr>
                <w:rFonts w:cs="Arial"/>
                <w:lang w:val="vi"/>
              </w:rPr>
            </w:pPr>
            <w:r>
              <w:rPr>
                <w:noProof/>
              </w:rPr>
              <w:drawing>
                <wp:inline distT="0" distB="0" distL="0" distR="0" wp14:anchorId="7CF3D046" wp14:editId="3372E040">
                  <wp:extent cx="2447797" cy="1636776"/>
                  <wp:effectExtent l="0" t="0" r="0" b="1905"/>
                  <wp:docPr id="132467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79351" name=""/>
                          <pic:cNvPicPr/>
                        </pic:nvPicPr>
                        <pic:blipFill>
                          <a:blip r:embed="rId11"/>
                          <a:stretch>
                            <a:fillRect/>
                          </a:stretch>
                        </pic:blipFill>
                        <pic:spPr>
                          <a:xfrm>
                            <a:off x="0" y="0"/>
                            <a:ext cx="2447797" cy="1636776"/>
                          </a:xfrm>
                          <a:prstGeom prst="rect">
                            <a:avLst/>
                          </a:prstGeom>
                        </pic:spPr>
                      </pic:pic>
                    </a:graphicData>
                  </a:graphic>
                </wp:inline>
              </w:drawing>
            </w:r>
          </w:p>
        </w:tc>
      </w:tr>
    </w:tbl>
    <w:p w14:paraId="3D0BF9BA" w14:textId="77777777" w:rsidR="00BD15F0" w:rsidRPr="00BD15F0" w:rsidRDefault="00BD15F0" w:rsidP="00BD15F0">
      <w:pPr>
        <w:spacing w:before="120" w:after="120" w:line="240" w:lineRule="auto"/>
        <w:rPr>
          <w:rFonts w:cs="Arial"/>
          <w:b/>
          <w:bCs/>
        </w:rPr>
      </w:pPr>
      <w:r w:rsidRPr="00BD15F0">
        <w:rPr>
          <w:rFonts w:cs="Arial"/>
          <w:b/>
          <w:bCs/>
        </w:rPr>
        <w:t>Biệt thự/Nhà liền kề</w:t>
      </w:r>
    </w:p>
    <w:p w14:paraId="0F782FB0" w14:textId="4774AAB0" w:rsidR="00BD15F0" w:rsidRPr="00BD15F0" w:rsidRDefault="00CE722D" w:rsidP="00BD15F0">
      <w:pPr>
        <w:spacing w:before="120" w:after="120" w:line="240" w:lineRule="auto"/>
        <w:rPr>
          <w:rFonts w:cs="Arial"/>
        </w:rPr>
      </w:pPr>
      <w:r>
        <w:rPr>
          <w:rFonts w:cs="Arial"/>
        </w:rPr>
        <w:t>Biệt</w:t>
      </w:r>
      <w:r w:rsidR="00BD15F0" w:rsidRPr="00BD15F0">
        <w:rPr>
          <w:rFonts w:cs="Arial"/>
        </w:rPr>
        <w:t xml:space="preserve"> thự/nhà liền kề cho thấy diễn biến tích cực hơn so với thời gian trước đó. </w:t>
      </w:r>
    </w:p>
    <w:p w14:paraId="10CA219F" w14:textId="77777777" w:rsidR="00BD15F0" w:rsidRDefault="00BD15F0" w:rsidP="00BD15F0">
      <w:pPr>
        <w:spacing w:before="120" w:after="120" w:line="240" w:lineRule="auto"/>
        <w:rPr>
          <w:rFonts w:cs="Arial"/>
        </w:rPr>
      </w:pPr>
      <w:r w:rsidRPr="00BD15F0">
        <w:rPr>
          <w:rFonts w:cs="Arial"/>
        </w:rPr>
        <w:t xml:space="preserve">Tại Hà Nội, nguồn cung mới biệt thự/nhà liền kề trong Q4/2024 đạt 4.655 căn từ 11 dự án. Nguồn cung sơ cấp đạt 5.002 căn từ 18 dự án, tăng gấp bảy lần theo quý và theo năm. Số lượng giao dịch trong quý cuối cùng của năm 2024 tăng mạnh, đạt 3.317 giao dịch, cao gấp 10 lần theo quý và 52 lần theo năm. Tỷ lệ hấp thụ trong quý tăng 18 điểm %, đạt mức 66%. </w:t>
      </w:r>
    </w:p>
    <w:p w14:paraId="170C1CD6" w14:textId="48863210" w:rsidR="00713142" w:rsidRDefault="002B1BD2" w:rsidP="00BD15F0">
      <w:pPr>
        <w:spacing w:before="120" w:after="120" w:line="240" w:lineRule="auto"/>
        <w:rPr>
          <w:rFonts w:cs="Arial"/>
        </w:rPr>
      </w:pPr>
      <w:r>
        <w:rPr>
          <w:rFonts w:cs="Arial"/>
        </w:rPr>
        <w:t>Tại TP.HCM, nguồn cung mới trong năm 2024 hạn chế với chỉ 197 căn được mở bán từ hai dự án. Nguồn cung sơ cấp giảm 2% theo năm xu</w:t>
      </w:r>
      <w:r w:rsidR="00713142">
        <w:rPr>
          <w:rFonts w:cs="Arial"/>
        </w:rPr>
        <w:t xml:space="preserve">ống còn 970 căn. Phân khúc trên 30 </w:t>
      </w:r>
      <w:r w:rsidR="00713142">
        <w:rPr>
          <w:rFonts w:cs="Arial"/>
        </w:rPr>
        <w:lastRenderedPageBreak/>
        <w:t xml:space="preserve">tỷ VNĐ/căn tiếp tục chiếm ưu thế với 74% thị phần. </w:t>
      </w:r>
      <w:r w:rsidR="00F62ABF">
        <w:rPr>
          <w:rFonts w:cs="Arial"/>
        </w:rPr>
        <w:t>Trong</w:t>
      </w:r>
      <w:r w:rsidR="0011348C">
        <w:rPr>
          <w:rFonts w:cs="Arial"/>
        </w:rPr>
        <w:t xml:space="preserve"> Q4/2024, lượng giao dịch giảm mạnh 65% theo quý và 6% theo năm</w:t>
      </w:r>
      <w:r w:rsidR="00E94692">
        <w:rPr>
          <w:rFonts w:cs="Arial"/>
        </w:rPr>
        <w:t>. Giá sơ cấp trong quý 4 tăng 20% theo quý nhưng giảm 10% theo năm xuống còn 330 triệu VNĐ/m2</w:t>
      </w:r>
      <w:r w:rsidR="008677A9">
        <w:rPr>
          <w:rFonts w:cs="Arial"/>
        </w:rPr>
        <w:t xml:space="preserve"> đất. </w:t>
      </w:r>
    </w:p>
    <w:p w14:paraId="580758DB" w14:textId="36BC699E" w:rsidR="008677A9" w:rsidRDefault="008677A9" w:rsidP="00BD15F0">
      <w:pPr>
        <w:spacing w:before="120" w:after="120" w:line="240" w:lineRule="auto"/>
        <w:rPr>
          <w:rFonts w:cs="Arial"/>
          <w:lang w:val="en-US"/>
        </w:rPr>
      </w:pPr>
      <w:r w:rsidRPr="008677A9">
        <w:rPr>
          <w:rFonts w:cs="Arial"/>
          <w:lang w:val="en-US"/>
        </w:rPr>
        <w:t>Phân khúc cao cấp vẫn sẽ tiếp tục chiếm ưu thế tại Tp.HCM do hạn chế quỹ đất và chi phí đầu vào tăng cao, trong khi nguồn cung giá cả phải chăng sẽ mở rộng ra các tỉnh lân cận nhờ hạ tầng ngày càng phát triển.</w:t>
      </w:r>
    </w:p>
    <w:p w14:paraId="666CBEB1" w14:textId="6D9908E5" w:rsidR="00BD15F0" w:rsidRPr="00552C8A" w:rsidRDefault="00517465" w:rsidP="00BD15F0">
      <w:pPr>
        <w:spacing w:before="120" w:after="120" w:line="240" w:lineRule="auto"/>
        <w:rPr>
          <w:rFonts w:cs="Arial"/>
          <w:lang w:val="en-US"/>
        </w:rPr>
      </w:pPr>
      <w:r w:rsidRPr="00517465">
        <w:rPr>
          <w:rFonts w:cs="Arial"/>
          <w:lang w:val="en-US"/>
        </w:rPr>
        <w:t xml:space="preserve">Năm 2025, </w:t>
      </w:r>
      <w:r>
        <w:rPr>
          <w:rFonts w:cs="Arial"/>
          <w:lang w:val="en-US"/>
        </w:rPr>
        <w:t xml:space="preserve">tại thị trường TP.HCM, </w:t>
      </w:r>
      <w:r w:rsidRPr="00517465">
        <w:rPr>
          <w:rFonts w:cs="Arial"/>
          <w:lang w:val="en-US"/>
        </w:rPr>
        <w:t>hơn 700 căn sẽ được mở bán, với 55% từ các giai đoạn tiếp theo của các dự án hiện hữu. Các sản phẩm có giá trên 20 tỷ VNĐ sẽ chiếm 70%.</w:t>
      </w:r>
    </w:p>
    <w:p w14:paraId="74DC799E" w14:textId="77777777" w:rsidR="00BD15F0" w:rsidRPr="00BD15F0" w:rsidRDefault="00BD15F0" w:rsidP="00BD15F0">
      <w:pPr>
        <w:spacing w:before="120" w:after="120" w:line="240" w:lineRule="auto"/>
        <w:rPr>
          <w:rFonts w:cs="Arial"/>
          <w:b/>
          <w:bCs/>
        </w:rPr>
      </w:pPr>
      <w:r w:rsidRPr="00BD15F0">
        <w:rPr>
          <w:rFonts w:cs="Arial"/>
          <w:b/>
          <w:bCs/>
        </w:rPr>
        <w:t xml:space="preserve">Bất động sản Thương mại </w:t>
      </w:r>
    </w:p>
    <w:p w14:paraId="4932A320" w14:textId="77777777" w:rsidR="00BD15F0" w:rsidRPr="00BD15F0" w:rsidRDefault="00BD15F0" w:rsidP="00BD15F0">
      <w:pPr>
        <w:spacing w:before="120" w:after="120" w:line="240" w:lineRule="auto"/>
        <w:rPr>
          <w:rFonts w:cs="Arial"/>
          <w:b/>
          <w:bCs/>
        </w:rPr>
      </w:pPr>
      <w:r w:rsidRPr="00BD15F0">
        <w:rPr>
          <w:rFonts w:cs="Arial"/>
          <w:b/>
          <w:bCs/>
        </w:rPr>
        <w:t xml:space="preserve">Văn phòng </w:t>
      </w:r>
    </w:p>
    <w:p w14:paraId="36A8DEDD" w14:textId="2CD52B56" w:rsidR="00BD15F0" w:rsidRPr="00BD15F0" w:rsidRDefault="00BD15F0" w:rsidP="00BD15F0">
      <w:pPr>
        <w:spacing w:before="120" w:after="120" w:line="240" w:lineRule="auto"/>
        <w:rPr>
          <w:rFonts w:cs="Arial"/>
        </w:rPr>
      </w:pPr>
      <w:r w:rsidRPr="00BD15F0">
        <w:rPr>
          <w:rFonts w:cs="Arial"/>
        </w:rPr>
        <w:t>Đến cuối năm 2024, tổng nguồn cung văn phòng tại Hà Nội đạt 2,34 triệu m</w:t>
      </w:r>
      <w:r w:rsidRPr="008774C7">
        <w:rPr>
          <w:rFonts w:cs="Arial"/>
          <w:vertAlign w:val="superscript"/>
        </w:rPr>
        <w:t>2</w:t>
      </w:r>
      <w:r w:rsidRPr="00BD15F0">
        <w:rPr>
          <w:rFonts w:cs="Arial"/>
        </w:rPr>
        <w:t xml:space="preserve"> sàn trên 192 dự án, tăng 9% theo quý và 10% theo năm.</w:t>
      </w:r>
      <w:r w:rsidRPr="00B677C2">
        <w:rPr>
          <w:rFonts w:cs="Arial"/>
          <w:b/>
          <w:bCs/>
          <w:color w:val="FF0000"/>
        </w:rPr>
        <w:t xml:space="preserve"> </w:t>
      </w:r>
      <w:r w:rsidRPr="001C51DC">
        <w:rPr>
          <w:rFonts w:cs="Arial"/>
        </w:rPr>
        <w:t>Trong khi đó, tại TP.HCM</w:t>
      </w:r>
      <w:r w:rsidR="000D46C4" w:rsidRPr="001C51DC">
        <w:rPr>
          <w:rFonts w:cs="Arial"/>
        </w:rPr>
        <w:t>, trong năm 2024 có 11 dự án mới với 133.000m</w:t>
      </w:r>
      <w:r w:rsidR="000D46C4" w:rsidRPr="0041673B">
        <w:rPr>
          <w:rFonts w:cs="Arial"/>
          <w:vertAlign w:val="superscript"/>
        </w:rPr>
        <w:t>2</w:t>
      </w:r>
      <w:r w:rsidR="000D46C4" w:rsidRPr="001C51DC">
        <w:rPr>
          <w:rFonts w:cs="Arial"/>
        </w:rPr>
        <w:t xml:space="preserve"> đã khai </w:t>
      </w:r>
      <w:r w:rsidR="001C51DC" w:rsidRPr="001C51DC">
        <w:rPr>
          <w:rFonts w:cs="Arial"/>
        </w:rPr>
        <w:t>trương. Khu vực ngoài trung tâm chiếm 65% nguồn cung mới từ 8 dự án, củng cố xu hướng dịch chuyển văn phòng ra khỏi khu vực trung tâm.</w:t>
      </w:r>
    </w:p>
    <w:p w14:paraId="077A8EC5" w14:textId="77777777" w:rsidR="00BD15F0" w:rsidRDefault="00BD15F0" w:rsidP="00BD15F0">
      <w:pPr>
        <w:spacing w:before="120" w:after="120" w:line="240" w:lineRule="auto"/>
        <w:rPr>
          <w:rFonts w:cs="Arial"/>
        </w:rPr>
      </w:pPr>
      <w:r w:rsidRPr="00BD15F0">
        <w:rPr>
          <w:rFonts w:cs="Arial"/>
        </w:rPr>
        <w:t xml:space="preserve">Với nguồn cung mới, công suất tại thị trường Hà Nội ghi nhận mức giảm 5 điểm % theo quý và theo năm, xuống 82%. Diện tích cho thuê thêm có xu hướng tích cực ở tất cả các phân khúc, bất chấp tác động từ nguồn cung mới. Phân khúc hạng A ghi nhận lượng diện tích cho thuê thêm dương liên tục từ năm 2010. </w:t>
      </w:r>
    </w:p>
    <w:p w14:paraId="7953185B" w14:textId="77777777" w:rsidR="00A705E6" w:rsidRPr="00BD15F0" w:rsidRDefault="00A705E6" w:rsidP="00A705E6">
      <w:pPr>
        <w:spacing w:before="120" w:after="120" w:line="240" w:lineRule="auto"/>
        <w:rPr>
          <w:rFonts w:cs="Arial"/>
          <w:lang w:val="vi-VN"/>
        </w:rPr>
      </w:pPr>
      <w:r w:rsidRPr="00BD15F0">
        <w:rPr>
          <w:rFonts w:cs="Arial"/>
          <w:lang w:val="vi-VN"/>
        </w:rPr>
        <w:t>Thị trường văn phòng tại Hà Nội hiện là thị trường của khách thuê, với nguồn cung mới đa dạng. Khách thuê đang được hưởng lợi từ các dự án chất lượng cao với nhiều ưu đãi miễn phí tiền thuê hơn.</w:t>
      </w:r>
    </w:p>
    <w:p w14:paraId="1E321472" w14:textId="525341DD" w:rsidR="00F905CD" w:rsidRPr="00C31770" w:rsidRDefault="002601A3" w:rsidP="00BD15F0">
      <w:pPr>
        <w:spacing w:before="120" w:after="120" w:line="240" w:lineRule="auto"/>
        <w:rPr>
          <w:rFonts w:cs="Arial"/>
          <w:lang w:val="vi-VN"/>
        </w:rPr>
      </w:pPr>
      <w:r w:rsidRPr="00A705E6">
        <w:rPr>
          <w:rFonts w:cs="Arial"/>
          <w:lang w:val="vi-VN"/>
        </w:rPr>
        <w:t>Công suất văn phòng tại TP.HCM trong Q4/2024 đạt 89%</w:t>
      </w:r>
      <w:r w:rsidR="00560798" w:rsidRPr="00A705E6">
        <w:rPr>
          <w:rFonts w:cs="Arial"/>
          <w:lang w:val="vi-VN"/>
        </w:rPr>
        <w:t xml:space="preserve">. </w:t>
      </w:r>
      <w:r w:rsidR="00560798" w:rsidRPr="00C31770">
        <w:rPr>
          <w:rFonts w:cs="Arial"/>
          <w:lang w:val="vi-VN"/>
        </w:rPr>
        <w:t>Giá thuê trung bình ghi nhận mức tăng liên tục trong 10 năm qua, đạt 816.000 VNĐ/m2/tháng vào năm 202</w:t>
      </w:r>
      <w:r w:rsidR="007C3877" w:rsidRPr="00C31770">
        <w:rPr>
          <w:rFonts w:cs="Arial"/>
          <w:lang w:val="vi-VN"/>
        </w:rPr>
        <w:t>4 với mức tăng trưởng trung bình 2-3%/năm ở tất cả các hạng văn phòng.</w:t>
      </w:r>
    </w:p>
    <w:p w14:paraId="03C3BDD0" w14:textId="660FF641" w:rsidR="00BD15F0" w:rsidRPr="00895F21" w:rsidRDefault="00B677C2" w:rsidP="00BD15F0">
      <w:pPr>
        <w:spacing w:before="120" w:after="120" w:line="240" w:lineRule="auto"/>
        <w:rPr>
          <w:rFonts w:cs="Arial"/>
          <w:lang w:val="vi-VN"/>
        </w:rPr>
      </w:pPr>
      <w:r w:rsidRPr="00C31770">
        <w:rPr>
          <w:rFonts w:cs="Arial"/>
          <w:lang w:val="vi-VN"/>
        </w:rPr>
        <w:t>Nhóm ngành Công nghệ thông tin và truyền thông (ICT) và y tế dược phẩm là những nhóm khách dẫn đầu về nhu cầu thuê văn phòng</w:t>
      </w:r>
      <w:r w:rsidR="00C82BFF" w:rsidRPr="00C31770">
        <w:rPr>
          <w:rFonts w:cs="Arial"/>
          <w:lang w:val="vi-VN"/>
        </w:rPr>
        <w:t xml:space="preserve"> tại Hà Nội. T</w:t>
      </w:r>
      <w:r w:rsidR="00CA0D1C" w:rsidRPr="00C31770">
        <w:rPr>
          <w:rFonts w:cs="Arial"/>
          <w:lang w:val="vi-VN"/>
        </w:rPr>
        <w:t xml:space="preserve">ương tự, tại TP.HCM, kết quả khảo sát của Savills đối với các giao dịch trong năm 2024 cho thấy nhóm ICT đã vượt qua </w:t>
      </w:r>
      <w:r w:rsidR="00F905CD" w:rsidRPr="00C31770">
        <w:rPr>
          <w:rFonts w:cs="Arial"/>
          <w:lang w:val="vi-VN"/>
        </w:rPr>
        <w:t xml:space="preserve">nhóm Tài chính, bảo </w:t>
      </w:r>
      <w:r w:rsidR="00A32742" w:rsidRPr="00A32742">
        <w:rPr>
          <w:rFonts w:cs="Arial"/>
          <w:lang w:val="vi-VN"/>
        </w:rPr>
        <w:t>hi</w:t>
      </w:r>
      <w:r w:rsidR="00A32742" w:rsidRPr="00DC3FE9">
        <w:rPr>
          <w:rFonts w:cs="Arial"/>
          <w:lang w:val="vi-VN"/>
        </w:rPr>
        <w:t>ểm</w:t>
      </w:r>
      <w:r w:rsidR="00F905CD" w:rsidRPr="00C31770">
        <w:rPr>
          <w:rFonts w:cs="Arial"/>
          <w:lang w:val="vi-VN"/>
        </w:rPr>
        <w:t>, bất động sản</w:t>
      </w:r>
      <w:r w:rsidR="007C3877" w:rsidRPr="00C31770">
        <w:rPr>
          <w:rFonts w:cs="Arial"/>
          <w:lang w:val="vi-VN"/>
        </w:rPr>
        <w:t xml:space="preserve"> (FIRE)</w:t>
      </w:r>
      <w:r w:rsidR="00F905CD" w:rsidRPr="00C31770">
        <w:rPr>
          <w:rFonts w:cs="Arial"/>
          <w:lang w:val="vi-VN"/>
        </w:rPr>
        <w:t xml:space="preserve"> để trở thành khách thuê lớn nhất.</w:t>
      </w:r>
    </w:p>
    <w:p w14:paraId="3ECA60BA" w14:textId="77777777" w:rsidR="00BD15F0" w:rsidRPr="00BD15F0" w:rsidRDefault="00BD15F0" w:rsidP="00BD15F0">
      <w:pPr>
        <w:spacing w:before="120" w:after="120" w:line="240" w:lineRule="auto"/>
        <w:rPr>
          <w:rFonts w:cs="Arial"/>
          <w:b/>
          <w:bCs/>
          <w:lang w:val="vi-VN"/>
        </w:rPr>
      </w:pPr>
      <w:r w:rsidRPr="00BD15F0">
        <w:rPr>
          <w:rFonts w:cs="Arial"/>
          <w:b/>
          <w:bCs/>
          <w:lang w:val="vi-VN"/>
        </w:rPr>
        <w:t>Bán lẻ</w:t>
      </w:r>
    </w:p>
    <w:p w14:paraId="74ED9223" w14:textId="77777777" w:rsidR="00BD15F0" w:rsidRPr="00BD15F0" w:rsidRDefault="00BD15F0" w:rsidP="00BD15F0">
      <w:pPr>
        <w:spacing w:before="120" w:after="120" w:line="240" w:lineRule="auto"/>
        <w:rPr>
          <w:rFonts w:cs="Arial"/>
          <w:lang w:val="vi-VN"/>
        </w:rPr>
      </w:pPr>
      <w:r w:rsidRPr="00BD15F0">
        <w:rPr>
          <w:rFonts w:cs="Arial"/>
          <w:lang w:val="vi-VN"/>
        </w:rPr>
        <w:t xml:space="preserve">Tại Hà Nội, nguồn cung bán lẻ duy trì ổn định theo quý và tăng 2% theo năm nhờ ba khối đế bán lẻ mới: Heritage West Lake, Taisei Square và Grand Terra. </w:t>
      </w:r>
    </w:p>
    <w:p w14:paraId="590C4F5C" w14:textId="71AA320C" w:rsidR="00BD15F0" w:rsidRPr="00BD15F0" w:rsidRDefault="00BD15F0" w:rsidP="00BD15F0">
      <w:pPr>
        <w:spacing w:before="120" w:after="120" w:line="240" w:lineRule="auto"/>
        <w:rPr>
          <w:rFonts w:cs="Arial"/>
          <w:lang w:val="vi-VN"/>
        </w:rPr>
      </w:pPr>
      <w:r w:rsidRPr="00BD15F0">
        <w:rPr>
          <w:rFonts w:cs="Arial"/>
          <w:lang w:val="vi-VN"/>
        </w:rPr>
        <w:t>Giá thuê gộp tầng trệt tại Hà Nội tăng 2% theo quý và 5% theo năm. Đáng chú ý, tại khu vực trung tâm, giá thuê ghi nhận mức tăng mạnh, tăng 33% theo quý và 4</w:t>
      </w:r>
      <w:r w:rsidR="001F137D" w:rsidRPr="001F137D">
        <w:rPr>
          <w:rFonts w:cs="Arial"/>
          <w:lang w:val="vi-VN"/>
        </w:rPr>
        <w:t>0</w:t>
      </w:r>
      <w:r w:rsidRPr="00BD15F0">
        <w:rPr>
          <w:rFonts w:cs="Arial"/>
          <w:lang w:val="vi-VN"/>
        </w:rPr>
        <w:t>% theo năm, đạt 4,5 triệu VNĐ/m</w:t>
      </w:r>
      <w:r w:rsidRPr="00DC3FE9">
        <w:rPr>
          <w:rFonts w:cs="Arial"/>
          <w:vertAlign w:val="superscript"/>
          <w:lang w:val="vi-VN"/>
        </w:rPr>
        <w:t>2</w:t>
      </w:r>
      <w:r w:rsidRPr="00BD15F0">
        <w:rPr>
          <w:rFonts w:cs="Arial"/>
          <w:lang w:val="vi-VN"/>
        </w:rPr>
        <w:t xml:space="preserve">/tháng, Công suất được giảm 3 điểm % theo năm, đạt 85%. </w:t>
      </w:r>
    </w:p>
    <w:p w14:paraId="484D65FF" w14:textId="30B3CB78" w:rsidR="00BD15F0" w:rsidRPr="00BD15F0" w:rsidRDefault="00BD15F0" w:rsidP="00BD15F0">
      <w:pPr>
        <w:spacing w:before="120" w:after="120" w:line="240" w:lineRule="auto"/>
        <w:rPr>
          <w:rFonts w:cs="Arial"/>
          <w:lang w:val="vi-VN"/>
        </w:rPr>
      </w:pPr>
      <w:r w:rsidRPr="00BD15F0">
        <w:rPr>
          <w:rFonts w:cs="Arial"/>
          <w:lang w:val="vi-VN"/>
        </w:rPr>
        <w:t>Về triển vọng, đến cuối năm 2025, thị trường bán lẻ Hà Nội dự kiến sẽ mở rộng với 140.700m</w:t>
      </w:r>
      <w:r w:rsidRPr="00B677C2">
        <w:rPr>
          <w:rFonts w:cs="Arial"/>
          <w:vertAlign w:val="superscript"/>
          <w:lang w:val="vi-VN"/>
        </w:rPr>
        <w:t>2</w:t>
      </w:r>
      <w:r w:rsidRPr="00BD15F0">
        <w:rPr>
          <w:rFonts w:cs="Arial"/>
          <w:lang w:val="vi-VN"/>
        </w:rPr>
        <w:t xml:space="preserve"> nguồn cung bán lẻ mới từ bốn trung tâm mua sắm và ba khối đế bán lẻ. Trong </w:t>
      </w:r>
      <w:r w:rsidRPr="00BD15F0">
        <w:rPr>
          <w:rFonts w:cs="Arial"/>
          <w:lang w:val="vi-VN"/>
        </w:rPr>
        <w:lastRenderedPageBreak/>
        <w:t>giai đoạn 2026 và 2027, nguồn cung tiếp tục tăng thêm 174.100m</w:t>
      </w:r>
      <w:r w:rsidRPr="00B677C2">
        <w:rPr>
          <w:rFonts w:cs="Arial"/>
          <w:vertAlign w:val="superscript"/>
          <w:lang w:val="vi-VN"/>
        </w:rPr>
        <w:t>2</w:t>
      </w:r>
      <w:r w:rsidRPr="00BD15F0">
        <w:rPr>
          <w:rFonts w:cs="Arial"/>
          <w:lang w:val="vi-VN"/>
        </w:rPr>
        <w:t xml:space="preserve"> diện tích sàn cho thuê đến từ bảy dự án. </w:t>
      </w:r>
    </w:p>
    <w:p w14:paraId="5C4EBEDA" w14:textId="77777777" w:rsidR="00BD15F0" w:rsidRPr="00BD15F0" w:rsidRDefault="00BD15F0" w:rsidP="00BD15F0">
      <w:pPr>
        <w:spacing w:before="120" w:after="120" w:line="240" w:lineRule="auto"/>
        <w:rPr>
          <w:rFonts w:cs="Arial"/>
          <w:lang w:val="vi-VN"/>
        </w:rPr>
      </w:pPr>
      <w:r w:rsidRPr="00BD15F0">
        <w:rPr>
          <w:rFonts w:cs="Arial"/>
          <w:lang w:val="vi-VN"/>
        </w:rPr>
        <w:t xml:space="preserve">Bà Hoàng Nguyệt Minh, Giám đốc Cấp cao, Bộ phận Cho thuê Thương mại, Savills Hà Nội nhận định: “Các tập đoàn bán lẻ quốc tế tiếp tục mở rộng tại Hà Nội, và nhu cầu đối với mặt bằng bán lẻ cao cấp vẫn duy trì ở mức cao do nguồn cung phù hợp còn hạn chế”. </w:t>
      </w:r>
    </w:p>
    <w:p w14:paraId="39375804" w14:textId="17180554" w:rsidR="0091133B" w:rsidRPr="00C31770" w:rsidRDefault="0091133B" w:rsidP="00BD15F0">
      <w:pPr>
        <w:spacing w:before="120" w:after="120" w:line="240" w:lineRule="auto"/>
        <w:rPr>
          <w:rFonts w:cs="Arial"/>
          <w:lang w:val="vi-VN"/>
        </w:rPr>
      </w:pPr>
      <w:r w:rsidRPr="00E5673C">
        <w:rPr>
          <w:rFonts w:cs="Arial"/>
          <w:lang w:val="vi-VN"/>
        </w:rPr>
        <w:t xml:space="preserve">Tại thị trường TP.HCM, </w:t>
      </w:r>
      <w:r w:rsidR="00A94E66" w:rsidRPr="00E5673C">
        <w:rPr>
          <w:rFonts w:cs="Arial"/>
          <w:lang w:val="vi-VN"/>
        </w:rPr>
        <w:t>tổng nguồn cung bán lẻ tăng 1% theo quý và 6% theo năm lên 1,6 triệu m</w:t>
      </w:r>
      <w:r w:rsidR="00A94E66" w:rsidRPr="000846EF">
        <w:rPr>
          <w:rFonts w:cs="Arial"/>
          <w:vertAlign w:val="superscript"/>
          <w:lang w:val="vi-VN"/>
        </w:rPr>
        <w:t>2</w:t>
      </w:r>
      <w:r w:rsidR="0088554B" w:rsidRPr="00E5673C">
        <w:rPr>
          <w:rFonts w:cs="Arial"/>
          <w:lang w:val="vi-VN"/>
        </w:rPr>
        <w:t xml:space="preserve">. </w:t>
      </w:r>
      <w:r w:rsidR="0088554B" w:rsidRPr="00C31770">
        <w:rPr>
          <w:rFonts w:cs="Arial"/>
          <w:lang w:val="vi-VN"/>
        </w:rPr>
        <w:t xml:space="preserve">Nguồn cung mới tập trung ở các khu bực ngoài trung tâm nhờ quỹ đất lớn và sự mở rộng đô thị hóa. </w:t>
      </w:r>
      <w:r w:rsidR="00ED3522" w:rsidRPr="00ED3522">
        <w:rPr>
          <w:rFonts w:cs="Arial"/>
          <w:lang w:val="vi-VN"/>
        </w:rPr>
        <w:t>Trong s</w:t>
      </w:r>
      <w:r w:rsidR="00ED3522" w:rsidRPr="007D065F">
        <w:rPr>
          <w:rFonts w:cs="Arial"/>
          <w:lang w:val="vi-VN"/>
        </w:rPr>
        <w:t>ố</w:t>
      </w:r>
      <w:r w:rsidR="0088554B" w:rsidRPr="00C31770">
        <w:rPr>
          <w:rFonts w:cs="Arial"/>
          <w:lang w:val="vi-VN"/>
        </w:rPr>
        <w:t xml:space="preserve"> các giao dịch thuê bán lẻ năm 2024 tại TP.HCM</w:t>
      </w:r>
      <w:r w:rsidR="00E96D01" w:rsidRPr="00C31770">
        <w:rPr>
          <w:rFonts w:cs="Arial"/>
          <w:lang w:val="vi-VN"/>
        </w:rPr>
        <w:t xml:space="preserve">, 88% </w:t>
      </w:r>
      <w:r w:rsidR="00085043" w:rsidRPr="00C31770">
        <w:rPr>
          <w:rFonts w:cs="Arial"/>
          <w:lang w:val="vi-VN"/>
        </w:rPr>
        <w:t xml:space="preserve">là </w:t>
      </w:r>
      <w:r w:rsidR="0088554B" w:rsidRPr="00C31770">
        <w:rPr>
          <w:rFonts w:cs="Arial"/>
          <w:lang w:val="vi-VN"/>
        </w:rPr>
        <w:t>sự mở rộng của thương hiệu</w:t>
      </w:r>
      <w:r w:rsidR="00A47814" w:rsidRPr="00C31770">
        <w:rPr>
          <w:rFonts w:cs="Arial"/>
          <w:lang w:val="vi-VN"/>
        </w:rPr>
        <w:t xml:space="preserve">, tổng diện tích thuê của các thương hiệu mới </w:t>
      </w:r>
      <w:r w:rsidR="00517C3D" w:rsidRPr="00C31770">
        <w:rPr>
          <w:rFonts w:cs="Arial"/>
          <w:lang w:val="vi-VN"/>
        </w:rPr>
        <w:t>chỉ chiếm 12%. Khách thuê dịch vụ ăn uống (F&amp;B) dẫn đầu, chiếm gần một phần ba diện tích thuê, tiếp đó là khách thuê thời trang với 24% thị phần và giải trí với 17% thị phần.</w:t>
      </w:r>
    </w:p>
    <w:p w14:paraId="6B0CA50B" w14:textId="2CBF0FAB" w:rsidR="004C7D04" w:rsidRPr="00C31770" w:rsidRDefault="00FD5259" w:rsidP="004C7D04">
      <w:pPr>
        <w:spacing w:before="120" w:after="120" w:line="240" w:lineRule="auto"/>
        <w:rPr>
          <w:rFonts w:cs="Arial"/>
          <w:lang w:val="vi-VN"/>
        </w:rPr>
      </w:pPr>
      <w:r w:rsidRPr="00C31770">
        <w:rPr>
          <w:rFonts w:cs="Arial"/>
          <w:lang w:val="vi-VN"/>
        </w:rPr>
        <w:t>Giá thuê trung bình tầng trệt đạt 1,</w:t>
      </w:r>
      <w:r w:rsidR="00BF0CFA" w:rsidRPr="00BF0CFA">
        <w:rPr>
          <w:rFonts w:cs="Arial"/>
          <w:lang w:val="vi-VN"/>
        </w:rPr>
        <w:t>4</w:t>
      </w:r>
      <w:r w:rsidRPr="00C31770">
        <w:rPr>
          <w:rFonts w:cs="Arial"/>
          <w:lang w:val="vi-VN"/>
        </w:rPr>
        <w:t xml:space="preserve"> triệu VNĐ/m</w:t>
      </w:r>
      <w:r w:rsidRPr="007D065F">
        <w:rPr>
          <w:rFonts w:cs="Arial"/>
          <w:vertAlign w:val="superscript"/>
          <w:lang w:val="vi-VN"/>
        </w:rPr>
        <w:t>2</w:t>
      </w:r>
      <w:r w:rsidRPr="00C31770">
        <w:rPr>
          <w:rFonts w:cs="Arial"/>
          <w:lang w:val="vi-VN"/>
        </w:rPr>
        <w:t>/tháng, tăng theo năm ở cả ba khu vực. Chính sách tăng giá hằng năm, giá thuê cao tại dự án mới và các dự án ở khu vực trung tâm đã thúc đẩy sự tăng trưởng.</w:t>
      </w:r>
    </w:p>
    <w:p w14:paraId="00614C7E" w14:textId="23D98694" w:rsidR="0088554B" w:rsidRPr="00C31770" w:rsidRDefault="004C7D04" w:rsidP="004C7D04">
      <w:pPr>
        <w:spacing w:before="120" w:after="120" w:line="240" w:lineRule="auto"/>
        <w:rPr>
          <w:rFonts w:cs="Arial"/>
          <w:lang w:val="vi-VN"/>
        </w:rPr>
      </w:pPr>
      <w:r w:rsidRPr="00C31770">
        <w:rPr>
          <w:rFonts w:cs="Arial"/>
          <w:lang w:val="vi-VN"/>
        </w:rPr>
        <w:t>Với nhu cầu tiêu dùng ngày càng gia tăng và sự tăng trưởng của tầng lớp giàu có, Tp.HCM tiếp tục thu hút các thương hiệu quốc tế, đặc biệt là trong phân khúc ngành xa xỉ.</w:t>
      </w:r>
    </w:p>
    <w:tbl>
      <w:tblPr>
        <w:tblStyle w:val="TableGrid"/>
        <w:tblW w:w="8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5673C" w14:paraId="22FC3602" w14:textId="77777777" w:rsidTr="00E5673C">
        <w:tc>
          <w:tcPr>
            <w:tcW w:w="3982" w:type="dxa"/>
          </w:tcPr>
          <w:p w14:paraId="5AD63A43" w14:textId="77777777" w:rsidR="00E5673C" w:rsidRPr="00BD15F0" w:rsidRDefault="00E5673C" w:rsidP="00E5673C">
            <w:pPr>
              <w:spacing w:before="120" w:after="120" w:line="240" w:lineRule="auto"/>
              <w:jc w:val="center"/>
              <w:rPr>
                <w:rFonts w:cs="Arial"/>
                <w:i/>
                <w:iCs/>
                <w:lang w:val="vi-VN"/>
              </w:rPr>
            </w:pPr>
            <w:r w:rsidRPr="00BD15F0">
              <w:rPr>
                <w:rFonts w:cs="Arial"/>
                <w:i/>
                <w:iCs/>
                <w:lang w:val="vi-VN"/>
              </w:rPr>
              <w:t>Tình hình hoạt động Bán lẻ tại Hà Nội</w:t>
            </w:r>
          </w:p>
          <w:p w14:paraId="01AD9E56" w14:textId="17483A30" w:rsidR="00E5673C" w:rsidRDefault="00E5673C" w:rsidP="00E5673C">
            <w:pPr>
              <w:spacing w:before="120" w:after="120" w:line="240" w:lineRule="auto"/>
              <w:rPr>
                <w:rFonts w:cs="Arial"/>
                <w:i/>
                <w:iCs/>
                <w:lang w:val="en-US"/>
              </w:rPr>
            </w:pPr>
            <w:r w:rsidRPr="00BD15F0">
              <w:rPr>
                <w:rFonts w:cs="Arial"/>
                <w:noProof/>
              </w:rPr>
              <w:drawing>
                <wp:inline distT="0" distB="0" distL="0" distR="0" wp14:anchorId="48ED0C58" wp14:editId="41478EB8">
                  <wp:extent cx="2743200" cy="1524842"/>
                  <wp:effectExtent l="0" t="0" r="0" b="0"/>
                  <wp:docPr id="80381375" name="Picture 3"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81375" name="Picture 3" descr="A graph with a line and a line&#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524842"/>
                          </a:xfrm>
                          <a:prstGeom prst="rect">
                            <a:avLst/>
                          </a:prstGeom>
                          <a:noFill/>
                        </pic:spPr>
                      </pic:pic>
                    </a:graphicData>
                  </a:graphic>
                </wp:inline>
              </w:drawing>
            </w:r>
          </w:p>
        </w:tc>
        <w:tc>
          <w:tcPr>
            <w:tcW w:w="4563" w:type="dxa"/>
          </w:tcPr>
          <w:p w14:paraId="609BB651" w14:textId="0A88CC33" w:rsidR="00E5673C" w:rsidRPr="00E5673C" w:rsidRDefault="00E5673C" w:rsidP="00E5673C">
            <w:pPr>
              <w:spacing w:before="120" w:after="120" w:line="240" w:lineRule="auto"/>
              <w:jc w:val="center"/>
              <w:rPr>
                <w:rFonts w:cs="Arial"/>
                <w:i/>
                <w:iCs/>
              </w:rPr>
            </w:pPr>
            <w:r w:rsidRPr="00E5673C">
              <w:rPr>
                <w:rFonts w:cs="Arial"/>
                <w:i/>
                <w:iCs/>
              </w:rPr>
              <w:t>Tình hình hoạt động bán lẻ tại TP.HCM</w:t>
            </w:r>
          </w:p>
          <w:p w14:paraId="7CA00C13" w14:textId="6BA42180" w:rsidR="00E5673C" w:rsidRDefault="00E5673C" w:rsidP="00E5673C">
            <w:pPr>
              <w:spacing w:before="120" w:after="120" w:line="240" w:lineRule="auto"/>
              <w:rPr>
                <w:rFonts w:cs="Arial"/>
                <w:i/>
                <w:iCs/>
                <w:lang w:val="en-US"/>
              </w:rPr>
            </w:pPr>
            <w:r>
              <w:rPr>
                <w:noProof/>
              </w:rPr>
              <w:drawing>
                <wp:inline distT="0" distB="0" distL="0" distR="0" wp14:anchorId="12A62B1B" wp14:editId="0BD06B2D">
                  <wp:extent cx="2743200" cy="1524344"/>
                  <wp:effectExtent l="0" t="0" r="0" b="0"/>
                  <wp:docPr id="505810686" name="Picture 1" descr="A graph with different colo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10686" name="Picture 1" descr="A graph with different colored lines and numbers&#10;&#10;Description automatically generated"/>
                          <pic:cNvPicPr/>
                        </pic:nvPicPr>
                        <pic:blipFill>
                          <a:blip r:embed="rId13"/>
                          <a:stretch>
                            <a:fillRect/>
                          </a:stretch>
                        </pic:blipFill>
                        <pic:spPr>
                          <a:xfrm>
                            <a:off x="0" y="0"/>
                            <a:ext cx="2743200" cy="1524344"/>
                          </a:xfrm>
                          <a:prstGeom prst="rect">
                            <a:avLst/>
                          </a:prstGeom>
                        </pic:spPr>
                      </pic:pic>
                    </a:graphicData>
                  </a:graphic>
                </wp:inline>
              </w:drawing>
            </w:r>
          </w:p>
        </w:tc>
      </w:tr>
    </w:tbl>
    <w:p w14:paraId="66FD5BE2" w14:textId="6415F3D0" w:rsidR="00BD15F0" w:rsidRPr="00BD15F0" w:rsidRDefault="00BD15F0" w:rsidP="00BD15F0">
      <w:pPr>
        <w:spacing w:before="120" w:after="120" w:line="240" w:lineRule="auto"/>
        <w:rPr>
          <w:rFonts w:cs="Arial"/>
          <w:b/>
          <w:bCs/>
          <w:lang w:val="en-US"/>
        </w:rPr>
      </w:pPr>
      <w:r w:rsidRPr="00BD15F0">
        <w:rPr>
          <w:rFonts w:cs="Arial"/>
          <w:b/>
          <w:bCs/>
        </w:rPr>
        <w:t>Khách sạn</w:t>
      </w:r>
    </w:p>
    <w:p w14:paraId="20BAE763" w14:textId="77777777" w:rsidR="00BD15F0" w:rsidRPr="00BD15F0" w:rsidRDefault="00BD15F0" w:rsidP="00BD15F0">
      <w:pPr>
        <w:spacing w:before="120" w:after="120" w:line="240" w:lineRule="auto"/>
        <w:rPr>
          <w:rFonts w:cs="Arial"/>
        </w:rPr>
      </w:pPr>
      <w:r w:rsidRPr="00BD15F0">
        <w:rPr>
          <w:rFonts w:cs="Arial"/>
        </w:rPr>
        <w:t>Thị trường khách sạn đang phục hồi nhờ nhu cầu du lịch mạnh mẽ.</w:t>
      </w:r>
    </w:p>
    <w:p w14:paraId="3D4B853A" w14:textId="44675427" w:rsidR="00BD15F0" w:rsidRDefault="00BD15F0" w:rsidP="00BD15F0">
      <w:pPr>
        <w:spacing w:before="120" w:after="120" w:line="240" w:lineRule="auto"/>
        <w:rPr>
          <w:rFonts w:cs="Arial"/>
        </w:rPr>
      </w:pPr>
      <w:r w:rsidRPr="00BD15F0">
        <w:rPr>
          <w:rFonts w:cs="Arial"/>
        </w:rPr>
        <w:t xml:space="preserve">Tại Hà Nội, công suất phòng khách sạn tăng trưởng trong Q4/2024, đạt 71%, tăng 3 điểm % theo quý và 7 điểm % theo năm. Giá thuê phòng trung bình tăng 1% theo quý nhưng giảm 6% theo năm. Nguồn cung tương </w:t>
      </w:r>
      <w:r w:rsidR="00F27A83">
        <w:rPr>
          <w:rFonts w:cs="Arial"/>
        </w:rPr>
        <w:t>lai</w:t>
      </w:r>
      <w:r w:rsidRPr="00BD15F0">
        <w:rPr>
          <w:rFonts w:cs="Arial"/>
        </w:rPr>
        <w:t xml:space="preserve"> dự kiến sẽ định hình lại thị trường, với 68 dự án dự kiến cung cấp 12.065 phòng kể từ 2025. Các thương hiệu đáng chú ý sắp ra mắt tại Hà Nội bao gồm Hilton, Fusion, Accor và Four Seasons.</w:t>
      </w:r>
    </w:p>
    <w:p w14:paraId="2C473ED2" w14:textId="390ADEED" w:rsidR="00EF6038" w:rsidRDefault="002D0E35" w:rsidP="00BD15F0">
      <w:pPr>
        <w:spacing w:before="120" w:after="120" w:line="240" w:lineRule="auto"/>
        <w:rPr>
          <w:rFonts w:cs="Arial"/>
        </w:rPr>
      </w:pPr>
      <w:r>
        <w:rPr>
          <w:rFonts w:cs="Arial"/>
        </w:rPr>
        <w:t xml:space="preserve">Tại TP.HCM, tất cả các phân khúc đều ghi nhận sự cải thiện theo quý và theo năm, với công suất phòng tăng 10 điểm % theo quý và 4 điểm % theo năm, đạt 71%. Giá phòng trung bình tăng 10% theo quý và 6% theo năm, đạt 2,1 triệu VND/phòng/đêm. </w:t>
      </w:r>
    </w:p>
    <w:p w14:paraId="3DF60E1B" w14:textId="36E7AF5B" w:rsidR="00BD15F0" w:rsidRPr="00BD15F0" w:rsidRDefault="002D0E35" w:rsidP="00BD15F0">
      <w:pPr>
        <w:spacing w:before="120" w:after="120" w:line="240" w:lineRule="auto"/>
        <w:rPr>
          <w:rFonts w:cs="Arial"/>
        </w:rPr>
      </w:pPr>
      <w:r>
        <w:rPr>
          <w:rFonts w:cs="Arial"/>
        </w:rPr>
        <w:lastRenderedPageBreak/>
        <w:t>Ông Neil McGregor, Tổng Giám đốc, Savills Việt Nam nhận định: “Tình hình hoạt động của phân khúc khách sạn tại TP.HCM được kỳ vọng sẽ phục hồi hoàn toàn vào năm 2025, nhờ sự trở lại mạnh mẽ của du khách quốc tế</w:t>
      </w:r>
      <w:r w:rsidR="007263AD">
        <w:rPr>
          <w:rFonts w:cs="Arial"/>
        </w:rPr>
        <w:t xml:space="preserve">, đặc biệt từ các thị trường nguồn trọng điểm”. </w:t>
      </w:r>
    </w:p>
    <w:p w14:paraId="2387F73B" w14:textId="6CD6EB0A" w:rsidR="00BD15F0" w:rsidRPr="00BD15F0" w:rsidRDefault="00BD15F0" w:rsidP="00BD15F0">
      <w:pPr>
        <w:spacing w:before="120" w:after="120" w:line="240" w:lineRule="auto"/>
        <w:rPr>
          <w:rFonts w:cs="Arial"/>
          <w:b/>
          <w:bCs/>
        </w:rPr>
      </w:pPr>
      <w:r w:rsidRPr="00BD15F0">
        <w:rPr>
          <w:rFonts w:cs="Arial"/>
          <w:b/>
          <w:bCs/>
        </w:rPr>
        <w:t xml:space="preserve">Căn hộ dịch vụ </w:t>
      </w:r>
    </w:p>
    <w:p w14:paraId="3224489C" w14:textId="77777777" w:rsidR="00BD15F0" w:rsidRPr="00BD15F0" w:rsidRDefault="00BD15F0" w:rsidP="00BD15F0">
      <w:pPr>
        <w:spacing w:before="120" w:after="120" w:line="240" w:lineRule="auto"/>
        <w:rPr>
          <w:rFonts w:cs="Arial"/>
        </w:rPr>
      </w:pPr>
      <w:r w:rsidRPr="00BD15F0">
        <w:rPr>
          <w:rFonts w:cs="Arial"/>
        </w:rPr>
        <w:t xml:space="preserve">Trong năm 2024, Việt Nam đã thu hút 38,2 tỷ USD tổng vốn đầu tư trực tiếp nước ngoài (FDI) đăng ký. Vốn FDI thực hiện đạt 25,4 tỷ USD, tăng 9% theo năm và là mức cao nhất được ghi nhận cho đến nay. </w:t>
      </w:r>
    </w:p>
    <w:p w14:paraId="350248A9" w14:textId="77777777" w:rsidR="00BD15F0" w:rsidRPr="00BD15F0" w:rsidRDefault="00BD15F0" w:rsidP="00BD15F0">
      <w:pPr>
        <w:spacing w:before="120" w:after="120" w:line="240" w:lineRule="auto"/>
        <w:rPr>
          <w:rFonts w:cs="Arial"/>
        </w:rPr>
      </w:pPr>
      <w:r w:rsidRPr="00BD15F0">
        <w:rPr>
          <w:rFonts w:cs="Arial"/>
        </w:rPr>
        <w:t xml:space="preserve">Ông Matthew Powell, Giám đốc Savills Hà Nội nhận định: “Sự mở rộng và phát triển của các khu công nghiệp tại Hà Nội cùng dòng vốn FDI mạnh mẽ khiến nhu cầu căn hộ dịch vụ tăng trưởng mạnh”. Tổng nguồn cung căn hộ dịch vụ tại Hà Nội đạt 6.246 căn với công suất lấp đầy tăng 2 điểm % theo quý và theo năm lên 84%. Giá thuê trung bình tăng 1% theo quý và 2% theo năm, trong đó hạng C là phân khúc duy nhất có giá thuê giảm. </w:t>
      </w:r>
    </w:p>
    <w:p w14:paraId="33AA59E1" w14:textId="77777777" w:rsidR="00BD15F0" w:rsidRDefault="00BD15F0" w:rsidP="00BD15F0">
      <w:pPr>
        <w:spacing w:before="120" w:after="120" w:line="240" w:lineRule="auto"/>
        <w:rPr>
          <w:rFonts w:cs="Arial"/>
        </w:rPr>
      </w:pPr>
      <w:r w:rsidRPr="00BD15F0">
        <w:rPr>
          <w:rFonts w:cs="Arial"/>
        </w:rPr>
        <w:t>Về triển vọng, các đơn vị vận hành quốc tế tiếp tục chiếm ưu thế thị trường Hà Nội, với 87% nguồn cung trong tương lai. Các đơn vị đáng chú ý tham gia thị trường bao gồm The Ascott, Lotte Group, Parkroyal Serviced Suites Hà Nội, Shilla Hotels &amp; Resorts, Hilton và Hyatt.</w:t>
      </w:r>
    </w:p>
    <w:p w14:paraId="2946E874" w14:textId="3453A2E7" w:rsidR="00BD15F0" w:rsidRDefault="0005539B" w:rsidP="00BD15F0">
      <w:pPr>
        <w:spacing w:before="120" w:after="120" w:line="240" w:lineRule="auto"/>
        <w:rPr>
          <w:rFonts w:cs="Arial"/>
          <w:lang w:val="en-US"/>
        </w:rPr>
      </w:pPr>
      <w:r>
        <w:rPr>
          <w:rFonts w:cs="Arial"/>
        </w:rPr>
        <w:t xml:space="preserve">Tại TP.HCM, </w:t>
      </w:r>
      <w:r w:rsidR="00B21C02">
        <w:rPr>
          <w:rFonts w:cs="Arial"/>
        </w:rPr>
        <w:t xml:space="preserve">nguồn cung căn hộ dịch vụ ghi nhận </w:t>
      </w:r>
      <w:r w:rsidR="00840752">
        <w:rPr>
          <w:rFonts w:cs="Arial"/>
        </w:rPr>
        <w:t>trong</w:t>
      </w:r>
      <w:r w:rsidR="00B21C02">
        <w:rPr>
          <w:rFonts w:cs="Arial"/>
        </w:rPr>
        <w:t xml:space="preserve"> Q4/2024 giảm 3% theo quý nhưng vẫn ổn định theo năm, với hơn 8.000 căn hộ. </w:t>
      </w:r>
      <w:r w:rsidR="003F25E3">
        <w:rPr>
          <w:rFonts w:cs="Arial"/>
          <w:lang w:val="en-US"/>
        </w:rPr>
        <w:t>Trong quý 4, giá thuê tăng 2% theo quý và theo năm, đạt 522.000 VNĐ/m2/thá</w:t>
      </w:r>
      <w:r w:rsidR="001968F9">
        <w:rPr>
          <w:rFonts w:cs="Arial"/>
          <w:lang w:val="en-US"/>
        </w:rPr>
        <w:t>ng. Bên cạnh chính sách tăng giá thuê, nhu cầu cao vào dịp cuối năm cũng thúc đẩy sự tự tin của chủ nhà. Công suất trong quý tăng 5 điểm % theo quý và tăng 1 điểm % theo năm, đạt 82% nhờ nguồn cầu từ kiều bào, khách quốc tế và khách công tác.</w:t>
      </w:r>
    </w:p>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F6EAC" w14:paraId="6D32EC0B" w14:textId="77777777" w:rsidTr="00CF6EAC">
        <w:tc>
          <w:tcPr>
            <w:tcW w:w="3982" w:type="dxa"/>
          </w:tcPr>
          <w:p w14:paraId="101046BC" w14:textId="22541315" w:rsidR="00CF6EAC" w:rsidRPr="00BD15F0" w:rsidRDefault="00CF6EAC" w:rsidP="00CF6EAC">
            <w:pPr>
              <w:spacing w:before="120" w:after="120" w:line="240" w:lineRule="auto"/>
              <w:rPr>
                <w:rFonts w:cs="Arial"/>
                <w:i/>
                <w:iCs/>
              </w:rPr>
            </w:pPr>
            <w:r w:rsidRPr="00BD15F0">
              <w:rPr>
                <w:rFonts w:cs="Arial"/>
                <w:i/>
                <w:iCs/>
              </w:rPr>
              <w:t xml:space="preserve">Tình hình hoạt động </w:t>
            </w:r>
            <w:r>
              <w:rPr>
                <w:rFonts w:cs="Arial"/>
                <w:i/>
                <w:iCs/>
              </w:rPr>
              <w:t>C</w:t>
            </w:r>
            <w:r w:rsidRPr="00BD15F0">
              <w:rPr>
                <w:rFonts w:cs="Arial"/>
                <w:i/>
                <w:iCs/>
              </w:rPr>
              <w:t xml:space="preserve">ăn hộ dịch vụ tại Hà Nội </w:t>
            </w:r>
          </w:p>
          <w:p w14:paraId="143334A2" w14:textId="0E23037E" w:rsidR="00CF6EAC" w:rsidRDefault="00CF6EAC" w:rsidP="00BD15F0">
            <w:pPr>
              <w:spacing w:before="120" w:after="120" w:line="240" w:lineRule="auto"/>
              <w:rPr>
                <w:rFonts w:cs="Arial"/>
                <w:lang w:val="en-US"/>
              </w:rPr>
            </w:pPr>
            <w:r w:rsidRPr="00BD15F0">
              <w:rPr>
                <w:rFonts w:cs="Arial"/>
                <w:noProof/>
              </w:rPr>
              <w:drawing>
                <wp:inline distT="0" distB="0" distL="0" distR="0" wp14:anchorId="7049A042" wp14:editId="5395F99D">
                  <wp:extent cx="2743200" cy="1696856"/>
                  <wp:effectExtent l="0" t="0" r="0" b="0"/>
                  <wp:docPr id="59260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696856"/>
                          </a:xfrm>
                          <a:prstGeom prst="rect">
                            <a:avLst/>
                          </a:prstGeom>
                          <a:noFill/>
                        </pic:spPr>
                      </pic:pic>
                    </a:graphicData>
                  </a:graphic>
                </wp:inline>
              </w:drawing>
            </w:r>
          </w:p>
        </w:tc>
        <w:tc>
          <w:tcPr>
            <w:tcW w:w="4473" w:type="dxa"/>
          </w:tcPr>
          <w:p w14:paraId="313744CD" w14:textId="02879EA2" w:rsidR="00CF6EAC" w:rsidRPr="00BD15F0" w:rsidRDefault="00CF6EAC" w:rsidP="00CF6EAC">
            <w:pPr>
              <w:spacing w:before="120" w:after="120" w:line="240" w:lineRule="auto"/>
              <w:rPr>
                <w:rFonts w:cs="Arial"/>
                <w:i/>
                <w:iCs/>
              </w:rPr>
            </w:pPr>
            <w:r w:rsidRPr="00BD15F0">
              <w:rPr>
                <w:rFonts w:cs="Arial"/>
                <w:i/>
                <w:iCs/>
              </w:rPr>
              <w:t xml:space="preserve">Tình hình hoạt động </w:t>
            </w:r>
            <w:r>
              <w:rPr>
                <w:rFonts w:cs="Arial"/>
                <w:i/>
                <w:iCs/>
              </w:rPr>
              <w:t>C</w:t>
            </w:r>
            <w:r w:rsidRPr="00BD15F0">
              <w:rPr>
                <w:rFonts w:cs="Arial"/>
                <w:i/>
                <w:iCs/>
              </w:rPr>
              <w:t>ăn hộ dịch vụ tại TP.HCM</w:t>
            </w:r>
          </w:p>
          <w:p w14:paraId="0B76F21D" w14:textId="468D4E8B" w:rsidR="00CF6EAC" w:rsidRDefault="00CF6EAC" w:rsidP="00BD15F0">
            <w:pPr>
              <w:spacing w:before="120" w:after="120" w:line="240" w:lineRule="auto"/>
              <w:rPr>
                <w:rFonts w:cs="Arial"/>
                <w:lang w:val="en-US"/>
              </w:rPr>
            </w:pPr>
            <w:r>
              <w:rPr>
                <w:noProof/>
              </w:rPr>
              <w:drawing>
                <wp:inline distT="0" distB="0" distL="0" distR="0" wp14:anchorId="360B12D6" wp14:editId="61DE76DA">
                  <wp:extent cx="2743200" cy="1635887"/>
                  <wp:effectExtent l="0" t="0" r="0" b="2540"/>
                  <wp:docPr id="1189757094" name="Picture 1" descr="A graph with a red line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57094" name="Picture 1" descr="A graph with a red line and blue squares&#10;&#10;Description automatically generated"/>
                          <pic:cNvPicPr/>
                        </pic:nvPicPr>
                        <pic:blipFill rotWithShape="1">
                          <a:blip r:embed="rId15"/>
                          <a:srcRect l="3417" b="2613"/>
                          <a:stretch/>
                        </pic:blipFill>
                        <pic:spPr bwMode="auto">
                          <a:xfrm>
                            <a:off x="0" y="0"/>
                            <a:ext cx="2743200" cy="1635887"/>
                          </a:xfrm>
                          <a:prstGeom prst="rect">
                            <a:avLst/>
                          </a:prstGeom>
                          <a:ln>
                            <a:noFill/>
                          </a:ln>
                          <a:extLst>
                            <a:ext uri="{53640926-AAD7-44D8-BBD7-CCE9431645EC}">
                              <a14:shadowObscured xmlns:a14="http://schemas.microsoft.com/office/drawing/2010/main"/>
                            </a:ext>
                          </a:extLst>
                        </pic:spPr>
                      </pic:pic>
                    </a:graphicData>
                  </a:graphic>
                </wp:inline>
              </w:drawing>
            </w:r>
          </w:p>
        </w:tc>
      </w:tr>
    </w:tbl>
    <w:p w14:paraId="25DC31C2" w14:textId="3B958383" w:rsidR="00E530FE" w:rsidRPr="00C459AE" w:rsidRDefault="00556F38" w:rsidP="00556F38">
      <w:pPr>
        <w:spacing w:before="120" w:after="120" w:line="240" w:lineRule="auto"/>
        <w:rPr>
          <w:rFonts w:cs="Arial"/>
        </w:rPr>
      </w:pPr>
      <w:r w:rsidRPr="00C459AE">
        <w:rPr>
          <w:rFonts w:cs="Arial"/>
        </w:rPr>
        <w:t xml:space="preserve">Tình hình hoạt động của thị trường bất động sản </w:t>
      </w:r>
      <w:r w:rsidR="00C459AE" w:rsidRPr="00C459AE">
        <w:rPr>
          <w:rFonts w:cs="Arial"/>
        </w:rPr>
        <w:t>trong Q4/2024 nói riêng và cả năm 2024</w:t>
      </w:r>
      <w:r w:rsidRPr="00C459AE">
        <w:rPr>
          <w:rFonts w:cs="Arial"/>
        </w:rPr>
        <w:t xml:space="preserve"> trải rộng trên các lĩnh vực nhà ở, thương mại, khách sạn, thể hiện sự chuyển biến của ngành tại Việt Nam, đồng thời cho thấy khả năng hoạt động của thị trường sẽ </w:t>
      </w:r>
      <w:bookmarkEnd w:id="0"/>
      <w:r w:rsidR="00C459AE" w:rsidRPr="00C459AE">
        <w:rPr>
          <w:rFonts w:cs="Arial"/>
        </w:rPr>
        <w:t>có những diễn biến tích cực hơn vào năm 2025.</w:t>
      </w:r>
    </w:p>
    <w:p w14:paraId="54A4AEDA" w14:textId="63F10D95" w:rsidR="005A2D06" w:rsidRPr="00E22BE8" w:rsidRDefault="00AB2B30" w:rsidP="00E22BE8">
      <w:pPr>
        <w:spacing w:before="120" w:after="120" w:line="240" w:lineRule="auto"/>
        <w:jc w:val="center"/>
        <w:textAlignment w:val="baseline"/>
        <w:rPr>
          <w:rFonts w:cs="Arial"/>
          <w:color w:val="000000"/>
          <w:lang w:val="en-US" w:eastAsia="zh-CN" w:bidi="th-TH"/>
        </w:rPr>
      </w:pPr>
      <w:r w:rsidRPr="00BD15F0">
        <w:rPr>
          <w:rFonts w:cs="Arial"/>
          <w:i/>
          <w:iCs/>
          <w:color w:val="000000"/>
          <w:lang w:val="vi-VN" w:eastAsia="zh-CN" w:bidi="th-TH"/>
        </w:rPr>
        <w:lastRenderedPageBreak/>
        <w:t>-</w:t>
      </w:r>
      <w:r w:rsidR="001F5C33" w:rsidRPr="00BD15F0">
        <w:rPr>
          <w:rFonts w:cs="Arial"/>
          <w:i/>
          <w:iCs/>
          <w:color w:val="000000"/>
          <w:lang w:val="vi-VN" w:eastAsia="zh-CN" w:bidi="th-TH"/>
        </w:rPr>
        <w:t>Hết</w:t>
      </w:r>
      <w:r w:rsidRPr="00BD15F0">
        <w:rPr>
          <w:rFonts w:cs="Arial"/>
          <w:i/>
          <w:iCs/>
          <w:color w:val="000000"/>
          <w:lang w:val="vi-VN" w:eastAsia="zh-CN" w:bidi="th-TH"/>
        </w:rPr>
        <w:t>-</w:t>
      </w:r>
    </w:p>
    <w:p w14:paraId="5860AB81" w14:textId="6258D200" w:rsidR="00AB2B30" w:rsidRPr="00BD15F0" w:rsidRDefault="001F5C33" w:rsidP="00556F38">
      <w:pPr>
        <w:spacing w:before="120" w:after="120" w:line="240" w:lineRule="auto"/>
        <w:textAlignment w:val="baseline"/>
        <w:rPr>
          <w:rFonts w:cs="Arial"/>
          <w:b/>
          <w:bCs/>
          <w:i/>
          <w:iCs/>
          <w:color w:val="000000"/>
          <w:lang w:val="vi-VN" w:eastAsia="zh-CN" w:bidi="th-TH"/>
        </w:rPr>
      </w:pPr>
      <w:r w:rsidRPr="00BD15F0">
        <w:rPr>
          <w:rFonts w:cs="Arial"/>
          <w:b/>
          <w:bCs/>
          <w:i/>
          <w:iCs/>
          <w:color w:val="000000"/>
          <w:lang w:val="vi-VN" w:eastAsia="zh-CN" w:bidi="th-TH"/>
        </w:rPr>
        <w:t>Nếu có thắc mắc và câu hỏi, vui lòng liên hệ Bộ phận Truyền thông của Savills:</w:t>
      </w:r>
    </w:p>
    <w:tbl>
      <w:tblPr>
        <w:tblW w:w="6925" w:type="dxa"/>
        <w:tblCellMar>
          <w:left w:w="0" w:type="dxa"/>
          <w:right w:w="0" w:type="dxa"/>
        </w:tblCellMar>
        <w:tblLook w:val="04A0" w:firstRow="1" w:lastRow="0" w:firstColumn="1" w:lastColumn="0" w:noHBand="0" w:noVBand="1"/>
      </w:tblPr>
      <w:tblGrid>
        <w:gridCol w:w="3415"/>
        <w:gridCol w:w="3510"/>
      </w:tblGrid>
      <w:tr w:rsidR="006D64F8" w:rsidRPr="00BD15F0" w14:paraId="520B7FF7" w14:textId="77777777" w:rsidTr="007F0D45">
        <w:trPr>
          <w:trHeight w:val="2236"/>
        </w:trPr>
        <w:tc>
          <w:tcPr>
            <w:tcW w:w="3415" w:type="dxa"/>
            <w:shd w:val="clear" w:color="auto" w:fill="auto"/>
            <w:hideMark/>
          </w:tcPr>
          <w:p w14:paraId="3B74A7D1" w14:textId="10AF8FB2" w:rsidR="006D64F8" w:rsidRPr="00C31770" w:rsidRDefault="006D64F8" w:rsidP="00556F38">
            <w:pPr>
              <w:spacing w:before="120" w:after="120" w:line="240" w:lineRule="auto"/>
              <w:textAlignment w:val="baseline"/>
              <w:rPr>
                <w:rFonts w:cs="Arial"/>
                <w:lang w:val="vi-VN" w:eastAsia="zh-CN" w:bidi="th-TH"/>
              </w:rPr>
            </w:pPr>
            <w:r w:rsidRPr="006D64F8">
              <w:rPr>
                <w:rFonts w:cs="Arial"/>
                <w:b/>
                <w:bCs/>
                <w:color w:val="000000"/>
                <w:lang w:val="vi-VN" w:eastAsia="zh-CN" w:bidi="th-TH"/>
              </w:rPr>
              <w:t>Vương K</w:t>
            </w:r>
            <w:r w:rsidRPr="00C31770">
              <w:rPr>
                <w:rFonts w:cs="Arial"/>
                <w:b/>
                <w:bCs/>
                <w:color w:val="000000"/>
                <w:lang w:val="vi-VN" w:eastAsia="zh-CN" w:bidi="th-TH"/>
              </w:rPr>
              <w:t>hánh Nhung</w:t>
            </w:r>
          </w:p>
          <w:p w14:paraId="0556DDD0" w14:textId="3CFA66CC" w:rsidR="006D64F8" w:rsidRPr="00C31770" w:rsidRDefault="007F0D45" w:rsidP="00556F38">
            <w:pPr>
              <w:spacing w:before="120" w:after="120" w:line="240" w:lineRule="auto"/>
              <w:textAlignment w:val="baseline"/>
              <w:rPr>
                <w:rFonts w:cs="Arial"/>
                <w:lang w:val="vi-VN" w:eastAsia="zh-CN" w:bidi="th-TH"/>
              </w:rPr>
            </w:pPr>
            <w:r w:rsidRPr="00C31770">
              <w:rPr>
                <w:rFonts w:cs="Arial"/>
                <w:color w:val="000000"/>
                <w:lang w:val="vi-VN" w:eastAsia="zh-CN" w:bidi="th-TH"/>
              </w:rPr>
              <w:t>Trưởng Bộ phận Truyền thông</w:t>
            </w:r>
          </w:p>
          <w:p w14:paraId="708822B7" w14:textId="3D82ED0E" w:rsidR="006D64F8" w:rsidRPr="00BD15F0" w:rsidRDefault="006D64F8" w:rsidP="00556F38">
            <w:pPr>
              <w:spacing w:before="120" w:after="120" w:line="240" w:lineRule="auto"/>
              <w:textAlignment w:val="baseline"/>
              <w:rPr>
                <w:rFonts w:cs="Arial"/>
                <w:lang w:val="en-US" w:eastAsia="zh-CN" w:bidi="th-TH"/>
              </w:rPr>
            </w:pPr>
            <w:r w:rsidRPr="00BD15F0">
              <w:rPr>
                <w:rFonts w:cs="Arial"/>
                <w:color w:val="000000"/>
                <w:lang w:val="en-US" w:eastAsia="zh-CN" w:bidi="th-TH"/>
              </w:rPr>
              <w:t xml:space="preserve">Savills </w:t>
            </w:r>
            <w:r>
              <w:rPr>
                <w:rFonts w:cs="Arial"/>
                <w:color w:val="000000"/>
                <w:lang w:val="en-US" w:eastAsia="zh-CN" w:bidi="th-TH"/>
              </w:rPr>
              <w:t>TP.HCM</w:t>
            </w:r>
          </w:p>
          <w:p w14:paraId="31A8C27D" w14:textId="52022964" w:rsidR="006D64F8" w:rsidRPr="00BD15F0" w:rsidRDefault="006D64F8" w:rsidP="00556F38">
            <w:pPr>
              <w:spacing w:before="120" w:after="120" w:line="240" w:lineRule="auto"/>
              <w:textAlignment w:val="baseline"/>
              <w:rPr>
                <w:rFonts w:cs="Arial"/>
                <w:lang w:val="en-US" w:eastAsia="zh-CN" w:bidi="th-TH"/>
              </w:rPr>
            </w:pPr>
            <w:r w:rsidRPr="00BD15F0">
              <w:rPr>
                <w:rFonts w:cs="Arial"/>
                <w:b/>
                <w:bCs/>
                <w:color w:val="000000"/>
                <w:lang w:val="en-US" w:eastAsia="zh-CN" w:bidi="th-TH"/>
              </w:rPr>
              <w:t xml:space="preserve">T: </w:t>
            </w:r>
            <w:r w:rsidR="007F0D45" w:rsidRPr="007F0D45">
              <w:rPr>
                <w:rFonts w:cs="Arial"/>
                <w:color w:val="000000"/>
                <w:lang w:val="en-US" w:eastAsia="zh-CN" w:bidi="th-TH"/>
              </w:rPr>
              <w:t>+84 909 130 205</w:t>
            </w:r>
          </w:p>
          <w:p w14:paraId="323A0090" w14:textId="5D1CF128" w:rsidR="006D64F8" w:rsidRPr="00BD15F0" w:rsidRDefault="006D64F8" w:rsidP="00556F38">
            <w:pPr>
              <w:spacing w:before="120" w:after="120" w:line="240" w:lineRule="auto"/>
              <w:textAlignment w:val="baseline"/>
              <w:rPr>
                <w:rFonts w:cs="Arial"/>
                <w:lang w:val="en-US" w:eastAsia="zh-CN" w:bidi="th-TH"/>
              </w:rPr>
            </w:pPr>
            <w:r w:rsidRPr="00BD15F0">
              <w:rPr>
                <w:rFonts w:cs="Arial"/>
                <w:b/>
                <w:bCs/>
                <w:color w:val="000000"/>
                <w:lang w:val="en-US" w:eastAsia="zh-CN" w:bidi="th-TH"/>
              </w:rPr>
              <w:t>E</w:t>
            </w:r>
            <w:r w:rsidRPr="00BD15F0">
              <w:rPr>
                <w:rFonts w:cs="Arial"/>
                <w:color w:val="000000"/>
                <w:lang w:val="en-US" w:eastAsia="zh-CN" w:bidi="th-TH"/>
              </w:rPr>
              <w:t xml:space="preserve">: </w:t>
            </w:r>
            <w:r w:rsidR="007F0D45">
              <w:rPr>
                <w:rFonts w:cs="Arial"/>
                <w:color w:val="000000"/>
                <w:lang w:val="en-US" w:eastAsia="zh-CN" w:bidi="th-TH"/>
              </w:rPr>
              <w:t>VThiKhanhNhung</w:t>
            </w:r>
            <w:r w:rsidRPr="00BD15F0">
              <w:rPr>
                <w:rFonts w:cs="Arial"/>
                <w:color w:val="000000"/>
                <w:lang w:val="en-US" w:eastAsia="zh-CN" w:bidi="th-TH"/>
              </w:rPr>
              <w:t>@savills.com.vn </w:t>
            </w:r>
          </w:p>
        </w:tc>
        <w:tc>
          <w:tcPr>
            <w:tcW w:w="3510" w:type="dxa"/>
            <w:shd w:val="clear" w:color="auto" w:fill="auto"/>
            <w:hideMark/>
          </w:tcPr>
          <w:p w14:paraId="76347544" w14:textId="49E1EDB8" w:rsidR="006D64F8" w:rsidRPr="006D64F8" w:rsidRDefault="006D64F8" w:rsidP="00556F38">
            <w:pPr>
              <w:spacing w:before="120" w:after="120" w:line="240" w:lineRule="auto"/>
              <w:textAlignment w:val="baseline"/>
              <w:rPr>
                <w:rFonts w:cs="Arial"/>
                <w:b/>
                <w:bCs/>
                <w:lang w:val="en-US" w:eastAsia="zh-CN" w:bidi="th-TH"/>
              </w:rPr>
            </w:pPr>
            <w:r w:rsidRPr="006D64F8">
              <w:rPr>
                <w:rFonts w:cs="Arial"/>
                <w:b/>
                <w:bCs/>
                <w:lang w:val="en-US" w:eastAsia="zh-CN" w:bidi="th-TH"/>
              </w:rPr>
              <w:t>Nguyễn Minh Thư</w:t>
            </w:r>
          </w:p>
          <w:p w14:paraId="5583B38E" w14:textId="77777777" w:rsidR="006D64F8" w:rsidRPr="00BD15F0" w:rsidRDefault="006D64F8" w:rsidP="00556F38">
            <w:pPr>
              <w:spacing w:before="120" w:after="120" w:line="240" w:lineRule="auto"/>
              <w:textAlignment w:val="baseline"/>
              <w:rPr>
                <w:rFonts w:cs="Arial"/>
                <w:lang w:val="en-US" w:eastAsia="zh-CN" w:bidi="th-TH"/>
              </w:rPr>
            </w:pPr>
            <w:r w:rsidRPr="00BD15F0">
              <w:rPr>
                <w:rFonts w:cs="Arial"/>
                <w:color w:val="000000"/>
                <w:lang w:val="en-US" w:eastAsia="zh-CN" w:bidi="th-TH"/>
              </w:rPr>
              <w:t>Phụ trách truyền thông</w:t>
            </w:r>
          </w:p>
          <w:p w14:paraId="3622256B" w14:textId="77777777" w:rsidR="006D64F8" w:rsidRPr="00BD15F0" w:rsidRDefault="006D64F8" w:rsidP="006D64F8">
            <w:pPr>
              <w:spacing w:before="120" w:after="120" w:line="240" w:lineRule="auto"/>
              <w:textAlignment w:val="baseline"/>
              <w:rPr>
                <w:rFonts w:cs="Arial"/>
                <w:lang w:val="en-US" w:eastAsia="zh-CN" w:bidi="th-TH"/>
              </w:rPr>
            </w:pPr>
            <w:r w:rsidRPr="00BD15F0">
              <w:rPr>
                <w:rFonts w:cs="Arial"/>
                <w:color w:val="000000"/>
                <w:lang w:val="en-US" w:eastAsia="zh-CN" w:bidi="th-TH"/>
              </w:rPr>
              <w:t>Savills Hà Nội </w:t>
            </w:r>
          </w:p>
          <w:p w14:paraId="57025CED" w14:textId="77777777" w:rsidR="006D64F8" w:rsidRPr="00BD15F0" w:rsidRDefault="006D64F8" w:rsidP="006D64F8">
            <w:pPr>
              <w:spacing w:before="120" w:after="120" w:line="240" w:lineRule="auto"/>
              <w:textAlignment w:val="baseline"/>
              <w:rPr>
                <w:rFonts w:cs="Arial"/>
                <w:lang w:val="en-US" w:eastAsia="zh-CN" w:bidi="th-TH"/>
              </w:rPr>
            </w:pPr>
            <w:r w:rsidRPr="00BD15F0">
              <w:rPr>
                <w:rFonts w:cs="Arial"/>
                <w:b/>
                <w:bCs/>
                <w:color w:val="000000"/>
                <w:lang w:val="en-US" w:eastAsia="zh-CN" w:bidi="th-TH"/>
              </w:rPr>
              <w:t xml:space="preserve">T: </w:t>
            </w:r>
            <w:r w:rsidRPr="00BD15F0">
              <w:rPr>
                <w:rFonts w:cs="Arial"/>
                <w:color w:val="000000"/>
                <w:lang w:val="en-US" w:eastAsia="zh-CN" w:bidi="th-TH"/>
              </w:rPr>
              <w:t>+84 974 701 995 </w:t>
            </w:r>
          </w:p>
          <w:p w14:paraId="1DCA437C" w14:textId="230B1EA9" w:rsidR="006D64F8" w:rsidRPr="00BD15F0" w:rsidRDefault="006D64F8" w:rsidP="006D64F8">
            <w:pPr>
              <w:spacing w:before="120" w:after="120" w:line="240" w:lineRule="auto"/>
              <w:textAlignment w:val="baseline"/>
              <w:rPr>
                <w:rFonts w:cs="Arial"/>
                <w:lang w:val="en-US" w:eastAsia="zh-CN" w:bidi="th-TH"/>
              </w:rPr>
            </w:pPr>
            <w:r w:rsidRPr="00BD15F0">
              <w:rPr>
                <w:rFonts w:cs="Arial"/>
                <w:b/>
                <w:bCs/>
                <w:color w:val="000000"/>
                <w:lang w:val="en-US" w:eastAsia="zh-CN" w:bidi="th-TH"/>
              </w:rPr>
              <w:t>E</w:t>
            </w:r>
            <w:r w:rsidRPr="00BD15F0">
              <w:rPr>
                <w:rFonts w:cs="Arial"/>
                <w:color w:val="000000"/>
                <w:lang w:val="en-US" w:eastAsia="zh-CN" w:bidi="th-TH"/>
              </w:rPr>
              <w:t>:</w:t>
            </w:r>
            <w:r>
              <w:rPr>
                <w:rFonts w:cs="Arial"/>
                <w:color w:val="000000"/>
                <w:lang w:val="en-US" w:eastAsia="zh-CN" w:bidi="th-TH"/>
              </w:rPr>
              <w:t xml:space="preserve"> </w:t>
            </w:r>
            <w:r w:rsidRPr="00BD15F0">
              <w:rPr>
                <w:rFonts w:cs="Arial"/>
                <w:color w:val="000000"/>
                <w:lang w:val="en-US" w:eastAsia="zh-CN" w:bidi="th-TH"/>
              </w:rPr>
              <w:t>NThiMinhThu@savills.com.vn </w:t>
            </w:r>
          </w:p>
        </w:tc>
      </w:tr>
    </w:tbl>
    <w:p w14:paraId="4A44EE1A" w14:textId="77777777" w:rsidR="007C250A" w:rsidRPr="00BD15F0" w:rsidRDefault="007C250A" w:rsidP="00556F38">
      <w:pPr>
        <w:spacing w:before="120" w:after="120" w:line="240" w:lineRule="auto"/>
        <w:rPr>
          <w:rFonts w:cs="Arial"/>
          <w:lang w:val="fr-FR"/>
        </w:rPr>
      </w:pPr>
    </w:p>
    <w:sectPr w:rsidR="007C250A" w:rsidRPr="00BD15F0" w:rsidSect="00FA4811">
      <w:headerReference w:type="default" r:id="rId16"/>
      <w:footerReference w:type="default" r:id="rId17"/>
      <w:headerReference w:type="first" r:id="rId18"/>
      <w:footerReference w:type="first" r:id="rId19"/>
      <w:pgSz w:w="11906" w:h="16838" w:code="9"/>
      <w:pgMar w:top="3168" w:right="3082" w:bottom="1138" w:left="850" w:header="85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366FC" w14:textId="77777777" w:rsidR="0017780C" w:rsidRDefault="0017780C">
      <w:pPr>
        <w:spacing w:after="0" w:line="240" w:lineRule="auto"/>
      </w:pPr>
      <w:r>
        <w:separator/>
      </w:r>
    </w:p>
  </w:endnote>
  <w:endnote w:type="continuationSeparator" w:id="0">
    <w:p w14:paraId="5CB208F7" w14:textId="77777777" w:rsidR="0017780C" w:rsidRDefault="0017780C">
      <w:pPr>
        <w:spacing w:after="0" w:line="240" w:lineRule="auto"/>
      </w:pPr>
      <w:r>
        <w:continuationSeparator/>
      </w:r>
    </w:p>
  </w:endnote>
  <w:endnote w:type="continuationNotice" w:id="1">
    <w:p w14:paraId="124B48E3" w14:textId="77777777" w:rsidR="0017780C" w:rsidRDefault="00177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ogo Savills">
    <w:panose1 w:val="02000506020000020004"/>
    <w:charset w:val="00"/>
    <w:family w:val="auto"/>
    <w:pitch w:val="variable"/>
    <w:sig w:usb0="8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2B5A" w14:textId="6EF691A2" w:rsidR="00862AD6" w:rsidRPr="0047073B" w:rsidRDefault="00F478DD" w:rsidP="00862AD6">
    <w:pPr>
      <w:pBdr>
        <w:top w:val="single" w:sz="4" w:space="1" w:color="auto"/>
      </w:pBdr>
      <w:rPr>
        <w:rFonts w:cs="Arial"/>
        <w:b/>
        <w:lang w:eastAsia="zh-TW"/>
      </w:rPr>
    </w:pPr>
    <w:r>
      <w:rPr>
        <w:noProof/>
      </w:rPr>
      <mc:AlternateContent>
        <mc:Choice Requires="wps">
          <w:drawing>
            <wp:anchor distT="0" distB="0" distL="114300" distR="114300" simplePos="0" relativeHeight="251658241" behindDoc="0" locked="0" layoutInCell="1" allowOverlap="1" wp14:anchorId="75260C8F" wp14:editId="54878B44">
              <wp:simplePos x="0" y="0"/>
              <wp:positionH relativeFrom="page">
                <wp:posOffset>6570980</wp:posOffset>
              </wp:positionH>
              <wp:positionV relativeFrom="page">
                <wp:posOffset>6182995</wp:posOffset>
              </wp:positionV>
              <wp:extent cx="623570" cy="42284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228465"/>
                      </a:xfrm>
                      <a:prstGeom prst="rect">
                        <a:avLst/>
                      </a:prstGeom>
                      <a:solidFill>
                        <a:srgbClr val="FFFFFF"/>
                      </a:solidFill>
                      <a:ln>
                        <a:noFill/>
                      </a:ln>
                    </wps:spPr>
                    <wps:txbx>
                      <w:txbxContent>
                        <w:p w14:paraId="482D11A1" w14:textId="3B840046" w:rsidR="00862AD6" w:rsidRPr="00BF1985" w:rsidRDefault="001F5C33">
                          <w:pPr>
                            <w:pStyle w:val="HorizontalText"/>
                            <w:rPr>
                              <w:lang w:val="en-US"/>
                            </w:rPr>
                          </w:pPr>
                          <w:r>
                            <w:rPr>
                              <w:lang w:val="en-US"/>
                            </w:rPr>
                            <w:t>Thông cáo Báo chí</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60C8F" id="_x0000_t202" coordsize="21600,21600" o:spt="202" path="m,l,21600r21600,l21600,xe">
              <v:stroke joinstyle="miter"/>
              <v:path gradientshapeok="t" o:connecttype="rect"/>
            </v:shapetype>
            <v:shape id="Text Box 3" o:spid="_x0000_s1026" type="#_x0000_t202" style="position:absolute;left:0;text-align:left;margin-left:517.4pt;margin-top:486.85pt;width:49.1pt;height:332.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" stroked="f">
              <v:textbox style="layout-flow:vertical;mso-layout-flow-alt:bottom-to-top">
                <w:txbxContent>
                  <w:p w14:paraId="482D11A1" w14:textId="3B840046" w:rsidR="00862AD6" w:rsidRPr="00BF1985" w:rsidRDefault="001F5C33">
                    <w:pPr>
                      <w:pStyle w:val="HorizontalText"/>
                      <w:rPr>
                        <w:lang w:val="en-US"/>
                      </w:rPr>
                    </w:pPr>
                    <w:r>
                      <w:rPr>
                        <w:lang w:val="en-US"/>
                      </w:rPr>
                      <w:t xml:space="preserve">Thông </w:t>
                    </w:r>
                    <w:proofErr w:type="spellStart"/>
                    <w:r>
                      <w:rPr>
                        <w:lang w:val="en-US"/>
                      </w:rPr>
                      <w:t>cáo</w:t>
                    </w:r>
                    <w:proofErr w:type="spellEnd"/>
                    <w:r>
                      <w:rPr>
                        <w:lang w:val="en-US"/>
                      </w:rPr>
                      <w:t xml:space="preserve"> Báo </w:t>
                    </w:r>
                    <w:proofErr w:type="spellStart"/>
                    <w:r>
                      <w:rPr>
                        <w:lang w:val="en-US"/>
                      </w:rPr>
                      <w:t>chí</w:t>
                    </w:r>
                    <w:proofErr w:type="spellEnd"/>
                  </w:p>
                </w:txbxContent>
              </v:textbox>
              <w10:wrap anchorx="page" anchory="page"/>
            </v:shape>
          </w:pict>
        </mc:Fallback>
      </mc:AlternateContent>
    </w:r>
    <w:r w:rsidR="004B3E72" w:rsidRPr="0047073B">
      <w:rPr>
        <w:rFonts w:cs="Arial"/>
        <w:b/>
        <w:lang w:eastAsia="zh-TW"/>
      </w:rPr>
      <w:t>S</w:t>
    </w:r>
    <w:r w:rsidR="004B3E72">
      <w:rPr>
        <w:rFonts w:cs="Arial"/>
        <w:b/>
      </w:rPr>
      <w:t>avills Việt Nam</w:t>
    </w:r>
  </w:p>
  <w:p w14:paraId="50A3F2E9" w14:textId="77777777" w:rsidR="00862AD6" w:rsidRDefault="004B3E72" w:rsidP="00862AD6">
    <w:pPr>
      <w:autoSpaceDE w:val="0"/>
      <w:autoSpaceDN w:val="0"/>
      <w:spacing w:after="0" w:line="180" w:lineRule="atLeast"/>
      <w:rPr>
        <w:rFonts w:cs="Arial"/>
        <w:sz w:val="16"/>
        <w:szCs w:val="16"/>
      </w:rPr>
    </w:pPr>
    <w:r>
      <w:rPr>
        <w:rFonts w:cs="Arial"/>
        <w:sz w:val="16"/>
        <w:szCs w:val="16"/>
      </w:rPr>
      <w:t>Savills V</w:t>
    </w:r>
    <w:r w:rsidRPr="00134854">
      <w:rPr>
        <w:rFonts w:cs="Arial"/>
        <w:sz w:val="16"/>
        <w:szCs w:val="16"/>
      </w:rPr>
      <w:t>iệt Nam là công ty tư vấn bất động sản lớn</w:t>
    </w:r>
    <w:r>
      <w:rPr>
        <w:rFonts w:cs="Arial"/>
        <w:sz w:val="16"/>
        <w:szCs w:val="16"/>
      </w:rPr>
      <w:t xml:space="preserve"> nhất và</w:t>
    </w:r>
    <w:r w:rsidRPr="00134854">
      <w:rPr>
        <w:rFonts w:cs="Arial"/>
        <w:sz w:val="16"/>
        <w:szCs w:val="16"/>
      </w:rPr>
      <w:t xml:space="preserve"> nhiều kinh nghiệm nhất </w:t>
    </w:r>
    <w:r>
      <w:rPr>
        <w:rFonts w:cs="Arial"/>
        <w:sz w:val="16"/>
        <w:szCs w:val="16"/>
      </w:rPr>
      <w:t>với</w:t>
    </w:r>
    <w:r w:rsidRPr="00134854">
      <w:rPr>
        <w:rFonts w:cs="Arial"/>
        <w:sz w:val="16"/>
        <w:szCs w:val="16"/>
      </w:rPr>
      <w:t xml:space="preserve"> văn phòng tại Hà Nội và TP</w:t>
    </w:r>
    <w:r>
      <w:rPr>
        <w:rFonts w:cs="Arial"/>
        <w:sz w:val="16"/>
        <w:szCs w:val="16"/>
      </w:rPr>
      <w:t>.</w:t>
    </w:r>
    <w:r w:rsidRPr="00134854">
      <w:rPr>
        <w:rFonts w:cs="Arial"/>
        <w:sz w:val="16"/>
        <w:szCs w:val="16"/>
      </w:rPr>
      <w:t>HCM. Công ty cung cấp các dịch vụ bất động sản</w:t>
    </w:r>
    <w:r>
      <w:rPr>
        <w:rFonts w:cs="Arial"/>
        <w:sz w:val="16"/>
        <w:szCs w:val="16"/>
      </w:rPr>
      <w:t xml:space="preserve"> toàn diện</w:t>
    </w:r>
    <w:r w:rsidRPr="00134854">
      <w:rPr>
        <w:rFonts w:cs="Arial"/>
        <w:sz w:val="16"/>
        <w:szCs w:val="16"/>
      </w:rPr>
      <w:t xml:space="preserve"> như: Kinh doanh Bất động sản nhà ở, Cho thuê Thương mại, Cho thuê Bất động sản nhà ở</w:t>
    </w:r>
    <w:r>
      <w:rPr>
        <w:rFonts w:cs="Arial"/>
        <w:sz w:val="16"/>
        <w:szCs w:val="16"/>
      </w:rPr>
      <w:t>,</w:t>
    </w:r>
    <w:r w:rsidRPr="00134854">
      <w:rPr>
        <w:rFonts w:cs="Arial"/>
        <w:sz w:val="16"/>
        <w:szCs w:val="16"/>
      </w:rPr>
      <w:t xml:space="preserve"> Nghiên cứu &amp; Tư vấn, Định giá &amp; Nghiên cứu khả thi, Dịch vụ Ngân hàng &amp; Doanh nghiệp, Tư vấn &amp; Môi giới Đầu tư, Tư vấn &amp; Cho thuê Mặt bằng bán lẻ, Quản lý Bất động sản</w:t>
    </w:r>
    <w:r>
      <w:rPr>
        <w:rFonts w:cs="Arial"/>
        <w:sz w:val="16"/>
        <w:szCs w:val="16"/>
      </w:rPr>
      <w:t xml:space="preserve"> &amp; Tài sản</w:t>
    </w:r>
    <w:r w:rsidRPr="00134854">
      <w:rPr>
        <w:rFonts w:cs="Arial"/>
        <w:sz w:val="16"/>
        <w:szCs w:val="16"/>
      </w:rPr>
      <w:t>, Tư vấn &amp; Đại diện Khách thuê, Tư vấn &amp; Cho thuê Mặt bằng công nghiệp,</w:t>
    </w:r>
    <w:r>
      <w:rPr>
        <w:rFonts w:cs="Arial"/>
        <w:sz w:val="16"/>
        <w:szCs w:val="16"/>
      </w:rPr>
      <w:t xml:space="preserve"> </w:t>
    </w:r>
    <w:r w:rsidRPr="00134854">
      <w:rPr>
        <w:rFonts w:cs="Arial"/>
        <w:sz w:val="16"/>
        <w:szCs w:val="16"/>
      </w:rPr>
      <w:t>Tiếp thị &amp; Các dịch vụ sáng tạo.</w:t>
    </w:r>
    <w:r>
      <w:rPr>
        <w:rFonts w:cs="Arial"/>
        <w:sz w:val="16"/>
        <w:szCs w:val="16"/>
      </w:rPr>
      <w:t xml:space="preserve"> </w:t>
    </w:r>
    <w:r w:rsidRPr="00134854">
      <w:rPr>
        <w:rFonts w:cs="Arial"/>
        <w:sz w:val="16"/>
        <w:szCs w:val="16"/>
      </w:rPr>
      <w:t xml:space="preserve">Savills Việt Nam đã </w:t>
    </w:r>
    <w:r>
      <w:rPr>
        <w:rFonts w:cs="Arial"/>
        <w:sz w:val="16"/>
        <w:szCs w:val="16"/>
      </w:rPr>
      <w:t xml:space="preserve">liên tục nhận được các danh hiệu danh giá và uy tín trong lĩnh vực BĐS trước khi ngừng tham gia các chương trình giải thưởng vào năm 2018 và </w:t>
    </w:r>
    <w:r w:rsidRPr="006B5391">
      <w:rPr>
        <w:rFonts w:cs="Arial"/>
        <w:sz w:val="16"/>
        <w:szCs w:val="16"/>
      </w:rPr>
      <w:t xml:space="preserve">dành chi phí tham </w:t>
    </w:r>
    <w:r>
      <w:rPr>
        <w:rFonts w:cs="Arial"/>
        <w:sz w:val="16"/>
        <w:szCs w:val="16"/>
      </w:rPr>
      <w:t>dự</w:t>
    </w:r>
    <w:r w:rsidRPr="006B5391">
      <w:rPr>
        <w:rFonts w:cs="Arial"/>
        <w:sz w:val="16"/>
        <w:szCs w:val="16"/>
      </w:rPr>
      <w:t xml:space="preserve"> cho quỹ “Savills Care</w:t>
    </w:r>
    <w:r>
      <w:rPr>
        <w:rFonts w:cs="Arial"/>
        <w:sz w:val="16"/>
        <w:szCs w:val="16"/>
      </w:rPr>
      <w:t>s</w:t>
    </w:r>
    <w:r w:rsidRPr="006B5391">
      <w:rPr>
        <w:rFonts w:cs="Arial"/>
        <w:sz w:val="16"/>
        <w:szCs w:val="16"/>
      </w:rPr>
      <w:t xml:space="preserve">” – chiến dịch trách nhiệm xã hội doanh nghiệp </w:t>
    </w:r>
    <w:r w:rsidRPr="00B26723">
      <w:rPr>
        <w:rFonts w:cs="Arial"/>
        <w:sz w:val="16"/>
        <w:szCs w:val="16"/>
      </w:rPr>
      <w:t>nhằm hợp tác với các tổ chức thiện nguyện, tập trung đầu tư cho hoạt động xã hội, đóng góp cho cư dân địa phương và phục vụ nâng cao đời sống cộng đồng</w:t>
    </w:r>
    <w:r>
      <w:rPr>
        <w:rFonts w:cs="Arial"/>
        <w:sz w:val="16"/>
        <w:szCs w:val="16"/>
      </w:rPr>
      <w:t>.</w:t>
    </w:r>
  </w:p>
  <w:p w14:paraId="3CAABEF8" w14:textId="77777777" w:rsidR="00862AD6" w:rsidRDefault="004B3E72" w:rsidP="00862AD6">
    <w:pPr>
      <w:autoSpaceDE w:val="0"/>
      <w:autoSpaceDN w:val="0"/>
      <w:spacing w:after="0" w:line="180" w:lineRule="atLeast"/>
      <w:rPr>
        <w:rFonts w:cs="Arial"/>
        <w:sz w:val="16"/>
        <w:szCs w:val="16"/>
      </w:rPr>
    </w:pPr>
    <w:r>
      <w:rPr>
        <w:rFonts w:cs="Arial"/>
        <w:sz w:val="16"/>
        <w:szCs w:val="16"/>
      </w:rPr>
      <w:t xml:space="preserve">Hiện tại, công ty có khoảng 2.000 nhân viên chuyên nghiệp, giàu kinh nghiệm trên cả nước và con số này vẫn đang tiếp tục tăng lên. </w:t>
    </w:r>
  </w:p>
  <w:p w14:paraId="7D6D0043" w14:textId="77777777" w:rsidR="00862AD6" w:rsidRDefault="00862AD6" w:rsidP="00862AD6">
    <w:pPr>
      <w:autoSpaceDE w:val="0"/>
      <w:autoSpaceDN w:val="0"/>
      <w:spacing w:after="0" w:line="180" w:lineRule="atLeast"/>
      <w:rPr>
        <w:rFonts w:cs="Arial"/>
        <w:sz w:val="16"/>
        <w:szCs w:val="16"/>
      </w:rPr>
    </w:pPr>
  </w:p>
  <w:p w14:paraId="59B0182E" w14:textId="77777777" w:rsidR="00862AD6" w:rsidRPr="00A866F8" w:rsidRDefault="00862AD6" w:rsidP="00862AD6">
    <w:pPr>
      <w:autoSpaceDE w:val="0"/>
      <w:autoSpaceDN w:val="0"/>
      <w:spacing w:after="0" w:line="180" w:lineRule="atLeast"/>
      <w:rPr>
        <w:rFonts w:cs="Arial"/>
        <w:sz w:val="16"/>
        <w:szCs w:val="16"/>
      </w:rPr>
    </w:pPr>
  </w:p>
  <w:p w14:paraId="539C70B4" w14:textId="77777777" w:rsidR="00862AD6" w:rsidRDefault="00862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BA0B" w14:textId="29BFDEB8" w:rsidR="00862AD6" w:rsidRPr="0047073B" w:rsidRDefault="00F478DD" w:rsidP="00862AD6">
    <w:pPr>
      <w:pBdr>
        <w:top w:val="single" w:sz="4" w:space="1" w:color="auto"/>
      </w:pBdr>
      <w:rPr>
        <w:rFonts w:cs="Arial"/>
        <w:b/>
        <w:lang w:eastAsia="zh-TW"/>
      </w:rPr>
    </w:pPr>
    <w:r>
      <w:rPr>
        <w:noProof/>
      </w:rPr>
      <mc:AlternateContent>
        <mc:Choice Requires="wps">
          <w:drawing>
            <wp:anchor distT="0" distB="0" distL="114300" distR="114300" simplePos="0" relativeHeight="251658240" behindDoc="0" locked="0" layoutInCell="1" allowOverlap="1" wp14:anchorId="3D704F0B" wp14:editId="11CABCF6">
              <wp:simplePos x="0" y="0"/>
              <wp:positionH relativeFrom="page">
                <wp:posOffset>6661150</wp:posOffset>
              </wp:positionH>
              <wp:positionV relativeFrom="page">
                <wp:posOffset>6257925</wp:posOffset>
              </wp:positionV>
              <wp:extent cx="623570" cy="38233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823335"/>
                      </a:xfrm>
                      <a:prstGeom prst="rect">
                        <a:avLst/>
                      </a:prstGeom>
                      <a:solidFill>
                        <a:srgbClr val="FFFFFF"/>
                      </a:solidFill>
                      <a:ln>
                        <a:noFill/>
                      </a:ln>
                    </wps:spPr>
                    <wps:txbx>
                      <w:txbxContent>
                        <w:p w14:paraId="660EAA69" w14:textId="5658951D" w:rsidR="00862AD6" w:rsidRPr="00134854" w:rsidRDefault="005076E8">
                          <w:pPr>
                            <w:pStyle w:val="HorizontalText"/>
                            <w:rPr>
                              <w:lang w:val="en-US"/>
                            </w:rPr>
                          </w:pPr>
                          <w:r>
                            <w:rPr>
                              <w:lang w:val="en-US"/>
                            </w:rPr>
                            <w:t>Thông cáo Báo chí</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04F0B" id="_x0000_t202" coordsize="21600,21600" o:spt="202" path="m,l,21600r21600,l21600,xe">
              <v:stroke joinstyle="miter"/>
              <v:path gradientshapeok="t" o:connecttype="rect"/>
            </v:shapetype>
            <v:shape id="Text Box 2" o:spid="_x0000_s1027" type="#_x0000_t202" style="position:absolute;left:0;text-align:left;margin-left:524.5pt;margin-top:492.75pt;width:49.1pt;height:30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" stroked="f">
              <v:textbox style="layout-flow:vertical;mso-layout-flow-alt:bottom-to-top">
                <w:txbxContent>
                  <w:p w14:paraId="660EAA69" w14:textId="5658951D" w:rsidR="00862AD6" w:rsidRPr="00134854" w:rsidRDefault="005076E8">
                    <w:pPr>
                      <w:pStyle w:val="HorizontalText"/>
                      <w:rPr>
                        <w:lang w:val="en-US"/>
                      </w:rPr>
                    </w:pPr>
                    <w:r>
                      <w:rPr>
                        <w:lang w:val="en-US"/>
                      </w:rPr>
                      <w:t xml:space="preserve">Thông </w:t>
                    </w:r>
                    <w:proofErr w:type="spellStart"/>
                    <w:r>
                      <w:rPr>
                        <w:lang w:val="en-US"/>
                      </w:rPr>
                      <w:t>cáo</w:t>
                    </w:r>
                    <w:proofErr w:type="spellEnd"/>
                    <w:r>
                      <w:rPr>
                        <w:lang w:val="en-US"/>
                      </w:rPr>
                      <w:t xml:space="preserve"> Báo </w:t>
                    </w:r>
                    <w:proofErr w:type="spellStart"/>
                    <w:r>
                      <w:rPr>
                        <w:lang w:val="en-US"/>
                      </w:rPr>
                      <w:t>chí</w:t>
                    </w:r>
                    <w:proofErr w:type="spellEnd"/>
                  </w:p>
                </w:txbxContent>
              </v:textbox>
              <w10:wrap anchorx="page" anchory="page"/>
            </v:shape>
          </w:pict>
        </mc:Fallback>
      </mc:AlternateContent>
    </w:r>
    <w:r w:rsidR="004B3E72" w:rsidRPr="0047073B">
      <w:rPr>
        <w:rFonts w:cs="Arial"/>
        <w:b/>
        <w:lang w:eastAsia="zh-TW"/>
      </w:rPr>
      <w:t>S</w:t>
    </w:r>
    <w:r w:rsidR="004B3E72">
      <w:rPr>
        <w:rFonts w:cs="Arial"/>
        <w:b/>
      </w:rPr>
      <w:t>avills Việt Nam</w:t>
    </w:r>
  </w:p>
  <w:p w14:paraId="653226BD" w14:textId="77777777" w:rsidR="00862AD6" w:rsidRDefault="004B3E72" w:rsidP="00862AD6">
    <w:pPr>
      <w:autoSpaceDE w:val="0"/>
      <w:autoSpaceDN w:val="0"/>
      <w:spacing w:after="0" w:line="180" w:lineRule="atLeast"/>
      <w:rPr>
        <w:rFonts w:cs="Arial"/>
        <w:sz w:val="16"/>
        <w:szCs w:val="16"/>
      </w:rPr>
    </w:pPr>
    <w:r>
      <w:rPr>
        <w:rFonts w:cs="Arial"/>
        <w:sz w:val="16"/>
        <w:szCs w:val="16"/>
      </w:rPr>
      <w:t>Savills V</w:t>
    </w:r>
    <w:r w:rsidRPr="00134854">
      <w:rPr>
        <w:rFonts w:cs="Arial"/>
        <w:sz w:val="16"/>
        <w:szCs w:val="16"/>
      </w:rPr>
      <w:t>iệt Nam là công ty tư vấn bất động sản lớn</w:t>
    </w:r>
    <w:r>
      <w:rPr>
        <w:rFonts w:cs="Arial"/>
        <w:sz w:val="16"/>
        <w:szCs w:val="16"/>
      </w:rPr>
      <w:t xml:space="preserve"> nhất và</w:t>
    </w:r>
    <w:r w:rsidRPr="00134854">
      <w:rPr>
        <w:rFonts w:cs="Arial"/>
        <w:sz w:val="16"/>
        <w:szCs w:val="16"/>
      </w:rPr>
      <w:t xml:space="preserve"> nhiều kinh nghiệm nhất </w:t>
    </w:r>
    <w:r>
      <w:rPr>
        <w:rFonts w:cs="Arial"/>
        <w:sz w:val="16"/>
        <w:szCs w:val="16"/>
      </w:rPr>
      <w:t>với</w:t>
    </w:r>
    <w:r w:rsidRPr="00134854">
      <w:rPr>
        <w:rFonts w:cs="Arial"/>
        <w:sz w:val="16"/>
        <w:szCs w:val="16"/>
      </w:rPr>
      <w:t xml:space="preserve"> văn phòng tại Hà Nội và TP</w:t>
    </w:r>
    <w:r>
      <w:rPr>
        <w:rFonts w:cs="Arial"/>
        <w:sz w:val="16"/>
        <w:szCs w:val="16"/>
      </w:rPr>
      <w:t>.</w:t>
    </w:r>
    <w:r w:rsidRPr="00134854">
      <w:rPr>
        <w:rFonts w:cs="Arial"/>
        <w:sz w:val="16"/>
        <w:szCs w:val="16"/>
      </w:rPr>
      <w:t>HCM. Công ty cung cấp các dịch vụ bất động sản</w:t>
    </w:r>
    <w:r>
      <w:rPr>
        <w:rFonts w:cs="Arial"/>
        <w:sz w:val="16"/>
        <w:szCs w:val="16"/>
      </w:rPr>
      <w:t xml:space="preserve"> toàn diện</w:t>
    </w:r>
    <w:r w:rsidRPr="00134854">
      <w:rPr>
        <w:rFonts w:cs="Arial"/>
        <w:sz w:val="16"/>
        <w:szCs w:val="16"/>
      </w:rPr>
      <w:t xml:space="preserve"> như: Kinh doanh Bất động sản nhà ở, Cho thuê Thương mại, Cho thuê Bất động sản nhà ở</w:t>
    </w:r>
    <w:r>
      <w:rPr>
        <w:rFonts w:cs="Arial"/>
        <w:sz w:val="16"/>
        <w:szCs w:val="16"/>
      </w:rPr>
      <w:t>,</w:t>
    </w:r>
    <w:r w:rsidRPr="00134854">
      <w:rPr>
        <w:rFonts w:cs="Arial"/>
        <w:sz w:val="16"/>
        <w:szCs w:val="16"/>
      </w:rPr>
      <w:t xml:space="preserve"> Nghiên cứu &amp; Tư vấn, Định giá &amp; Nghiên cứu khả thi, Dịch vụ Ngân hàng &amp; Doanh nghiệp, Tư vấn &amp; Môi giới Đầu tư, Tư vấn &amp; Cho thuê Mặt bằng bán lẻ, Quản lý Bất động sản</w:t>
    </w:r>
    <w:r>
      <w:rPr>
        <w:rFonts w:cs="Arial"/>
        <w:sz w:val="16"/>
        <w:szCs w:val="16"/>
      </w:rPr>
      <w:t xml:space="preserve"> &amp; Tài sản</w:t>
    </w:r>
    <w:r w:rsidRPr="00134854">
      <w:rPr>
        <w:rFonts w:cs="Arial"/>
        <w:sz w:val="16"/>
        <w:szCs w:val="16"/>
      </w:rPr>
      <w:t>, Tư vấn &amp; Đại diện Khách thuê, Tư vấn &amp; Cho thuê Mặt bằng công nghiệp,</w:t>
    </w:r>
    <w:r>
      <w:rPr>
        <w:rFonts w:cs="Arial"/>
        <w:sz w:val="16"/>
        <w:szCs w:val="16"/>
      </w:rPr>
      <w:t xml:space="preserve"> </w:t>
    </w:r>
    <w:r w:rsidRPr="00134854">
      <w:rPr>
        <w:rFonts w:cs="Arial"/>
        <w:sz w:val="16"/>
        <w:szCs w:val="16"/>
      </w:rPr>
      <w:t>Tiếp thị &amp; Các dịch vụ sáng tạo.</w:t>
    </w:r>
    <w:r>
      <w:rPr>
        <w:rFonts w:cs="Arial"/>
        <w:sz w:val="16"/>
        <w:szCs w:val="16"/>
      </w:rPr>
      <w:t xml:space="preserve"> </w:t>
    </w:r>
    <w:r w:rsidRPr="00134854">
      <w:rPr>
        <w:rFonts w:cs="Arial"/>
        <w:sz w:val="16"/>
        <w:szCs w:val="16"/>
      </w:rPr>
      <w:t xml:space="preserve">Savills Việt Nam đã </w:t>
    </w:r>
    <w:r>
      <w:rPr>
        <w:rFonts w:cs="Arial"/>
        <w:sz w:val="16"/>
        <w:szCs w:val="16"/>
      </w:rPr>
      <w:t xml:space="preserve">liên tục nhận được các danh hiệu danh giá và uy tín trong lĩnh vực BĐS trước khi ngừng tham gia các chương trình giải thưởng vào năm 2018 và </w:t>
    </w:r>
    <w:r w:rsidRPr="006B5391">
      <w:rPr>
        <w:rFonts w:cs="Arial"/>
        <w:sz w:val="16"/>
        <w:szCs w:val="16"/>
      </w:rPr>
      <w:t xml:space="preserve">dành chi phí tham </w:t>
    </w:r>
    <w:r>
      <w:rPr>
        <w:rFonts w:cs="Arial"/>
        <w:sz w:val="16"/>
        <w:szCs w:val="16"/>
      </w:rPr>
      <w:t>dự</w:t>
    </w:r>
    <w:r w:rsidRPr="006B5391">
      <w:rPr>
        <w:rFonts w:cs="Arial"/>
        <w:sz w:val="16"/>
        <w:szCs w:val="16"/>
      </w:rPr>
      <w:t xml:space="preserve"> cho quỹ “Savills Care</w:t>
    </w:r>
    <w:r>
      <w:rPr>
        <w:rFonts w:cs="Arial"/>
        <w:sz w:val="16"/>
        <w:szCs w:val="16"/>
      </w:rPr>
      <w:t>s</w:t>
    </w:r>
    <w:r w:rsidRPr="006B5391">
      <w:rPr>
        <w:rFonts w:cs="Arial"/>
        <w:sz w:val="16"/>
        <w:szCs w:val="16"/>
      </w:rPr>
      <w:t xml:space="preserve">” – chiến dịch trách nhiệm xã hội doanh nghiệp </w:t>
    </w:r>
    <w:r w:rsidRPr="00B26723">
      <w:rPr>
        <w:rFonts w:cs="Arial"/>
        <w:sz w:val="16"/>
        <w:szCs w:val="16"/>
      </w:rPr>
      <w:t>nhằm hợp tác với các tổ chức thiện nguyện, tập trung đầu tư cho hoạt động xã hội, đóng góp cho cư dân địa phương và phục vụ nâng cao đời sống cộng đồng</w:t>
    </w:r>
    <w:r>
      <w:rPr>
        <w:rFonts w:cs="Arial"/>
        <w:sz w:val="16"/>
        <w:szCs w:val="16"/>
      </w:rPr>
      <w:t>.</w:t>
    </w:r>
  </w:p>
  <w:p w14:paraId="50050C7B" w14:textId="77777777" w:rsidR="00862AD6" w:rsidRDefault="004B3E72" w:rsidP="00862AD6">
    <w:pPr>
      <w:autoSpaceDE w:val="0"/>
      <w:autoSpaceDN w:val="0"/>
      <w:spacing w:after="0" w:line="180" w:lineRule="atLeast"/>
      <w:rPr>
        <w:rFonts w:cs="Arial"/>
        <w:sz w:val="16"/>
        <w:szCs w:val="16"/>
      </w:rPr>
    </w:pPr>
    <w:r>
      <w:rPr>
        <w:rFonts w:cs="Arial"/>
        <w:sz w:val="16"/>
        <w:szCs w:val="16"/>
      </w:rPr>
      <w:t xml:space="preserve">Hiện tại, công ty có khoảng 2.000 nhân viên chuyên nghiệp, giàu kinh nghiệm trên cả nước và con số này vẫn đang tiếp tục tăng lên. </w:t>
    </w:r>
  </w:p>
  <w:p w14:paraId="6CBCB322" w14:textId="77777777" w:rsidR="00862AD6" w:rsidRDefault="00862AD6" w:rsidP="00862AD6">
    <w:pPr>
      <w:pStyle w:val="Footer"/>
    </w:pPr>
  </w:p>
  <w:p w14:paraId="1E310123" w14:textId="77777777" w:rsidR="00862AD6" w:rsidRDefault="00862AD6" w:rsidP="00862AD6">
    <w:pPr>
      <w:pStyle w:val="ListParagraph"/>
      <w:tabs>
        <w:tab w:val="left" w:pos="360"/>
      </w:tabs>
      <w:spacing w:before="100" w:beforeAutospacing="1" w:after="100" w:afterAutospacing="1" w:line="360"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70C7" w14:textId="77777777" w:rsidR="0017780C" w:rsidRDefault="0017780C">
      <w:pPr>
        <w:spacing w:after="0" w:line="240" w:lineRule="auto"/>
      </w:pPr>
      <w:r>
        <w:separator/>
      </w:r>
    </w:p>
  </w:footnote>
  <w:footnote w:type="continuationSeparator" w:id="0">
    <w:p w14:paraId="040253F5" w14:textId="77777777" w:rsidR="0017780C" w:rsidRDefault="0017780C">
      <w:pPr>
        <w:spacing w:after="0" w:line="240" w:lineRule="auto"/>
      </w:pPr>
      <w:r>
        <w:continuationSeparator/>
      </w:r>
    </w:p>
  </w:footnote>
  <w:footnote w:type="continuationNotice" w:id="1">
    <w:p w14:paraId="1D759B83" w14:textId="77777777" w:rsidR="0017780C" w:rsidRDefault="001778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14:paraId="3C22A40F" w14:textId="77777777">
      <w:trPr>
        <w:hidden/>
      </w:trPr>
      <w:tc>
        <w:tcPr>
          <w:tcW w:w="7711" w:type="dxa"/>
        </w:tcPr>
        <w:p w14:paraId="3146A56D" w14:textId="77777777" w:rsidR="00862AD6" w:rsidRDefault="00862AD6">
          <w:pPr>
            <w:pStyle w:val="HeaderJobCont"/>
          </w:pPr>
        </w:p>
      </w:tc>
      <w:tc>
        <w:tcPr>
          <w:tcW w:w="2722" w:type="dxa"/>
        </w:tcPr>
        <w:p w14:paraId="7E451AD0" w14:textId="77777777" w:rsidR="00862AD6" w:rsidRDefault="004B3E72">
          <w:pPr>
            <w:pStyle w:val="SavillsLogoBW"/>
          </w:pPr>
          <w:r>
            <w:rPr>
              <w:rFonts w:cs="Arial"/>
              <w:noProof/>
              <w:vanish w:val="0"/>
              <w:lang w:eastAsia="en-GB"/>
            </w:rPr>
            <w:drawing>
              <wp:inline distT="0" distB="0" distL="0" distR="0" wp14:anchorId="2B1300F1" wp14:editId="1317F405">
                <wp:extent cx="1114425" cy="1114425"/>
                <wp:effectExtent l="0" t="0" r="9525" b="9525"/>
                <wp:docPr id="6" name="Picture 6"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17FCAF17" w14:textId="77777777" w:rsidR="00862AD6" w:rsidRDefault="00862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33" w:type="dxa"/>
      <w:tblLook w:val="00A0" w:firstRow="1" w:lastRow="0" w:firstColumn="1" w:lastColumn="0" w:noHBand="0" w:noVBand="0"/>
    </w:tblPr>
    <w:tblGrid>
      <w:gridCol w:w="7711"/>
      <w:gridCol w:w="2722"/>
    </w:tblGrid>
    <w:tr w:rsidR="00862AD6" w14:paraId="21E23408" w14:textId="77777777">
      <w:trPr>
        <w:trHeight w:val="1758"/>
        <w:hidden w:val="0"/>
      </w:trPr>
      <w:tc>
        <w:tcPr>
          <w:tcW w:w="7711" w:type="dxa"/>
        </w:tcPr>
        <w:p w14:paraId="19F2771D" w14:textId="11FFD870" w:rsidR="00862AD6" w:rsidRPr="00FA4811" w:rsidRDefault="005076E8" w:rsidP="00862AD6">
          <w:pPr>
            <w:pStyle w:val="HeaderTitle"/>
            <w:rPr>
              <w:rFonts w:eastAsia="PMingLiU"/>
              <w:sz w:val="40"/>
              <w:szCs w:val="40"/>
              <w:u w:val="single"/>
              <w:lang w:eastAsia="zh-TW"/>
            </w:rPr>
          </w:pPr>
          <w:r>
            <w:rPr>
              <w:rFonts w:cs="Arial"/>
              <w:vanish w:val="0"/>
              <w:sz w:val="40"/>
              <w:szCs w:val="40"/>
            </w:rPr>
            <w:t>Thông cáo Báo Chí</w:t>
          </w:r>
        </w:p>
      </w:tc>
      <w:tc>
        <w:tcPr>
          <w:tcW w:w="2722" w:type="dxa"/>
        </w:tcPr>
        <w:p w14:paraId="05D0448B" w14:textId="77777777" w:rsidR="00862AD6" w:rsidRDefault="004B3E72">
          <w:pPr>
            <w:pStyle w:val="SavillsLogoCol"/>
            <w:ind w:right="-43"/>
            <w:rPr>
              <w:rFonts w:cs="Arial"/>
            </w:rPr>
          </w:pPr>
          <w:r>
            <w:rPr>
              <w:rFonts w:cs="Arial"/>
              <w:noProof/>
              <w:vanish w:val="0"/>
              <w:lang w:eastAsia="en-GB"/>
            </w:rPr>
            <w:drawing>
              <wp:inline distT="0" distB="0" distL="0" distR="0" wp14:anchorId="71ED176D" wp14:editId="2FA8A7BC">
                <wp:extent cx="1114425" cy="1114425"/>
                <wp:effectExtent l="0" t="0" r="9525" b="9525"/>
                <wp:docPr id="1" name="Picture 1" descr="Savills_RG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ills_RG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7DF2DED5" w14:textId="3F4ABFB9" w:rsidR="00862AD6" w:rsidRDefault="00862AD6">
    <w:pPr>
      <w:tabs>
        <w:tab w:val="left" w:pos="58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3DCF"/>
    <w:multiLevelType w:val="multilevel"/>
    <w:tmpl w:val="D39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16533"/>
    <w:multiLevelType w:val="multilevel"/>
    <w:tmpl w:val="24B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9552C"/>
    <w:multiLevelType w:val="hybridMultilevel"/>
    <w:tmpl w:val="5C18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163DC"/>
    <w:multiLevelType w:val="hybridMultilevel"/>
    <w:tmpl w:val="8A4E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51FD7"/>
    <w:multiLevelType w:val="hybridMultilevel"/>
    <w:tmpl w:val="7CA2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0D49"/>
    <w:multiLevelType w:val="hybridMultilevel"/>
    <w:tmpl w:val="C512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2732E"/>
    <w:multiLevelType w:val="hybridMultilevel"/>
    <w:tmpl w:val="F6AA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6423C"/>
    <w:multiLevelType w:val="hybridMultilevel"/>
    <w:tmpl w:val="7136C014"/>
    <w:lvl w:ilvl="0" w:tplc="38522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52C6C"/>
    <w:multiLevelType w:val="multilevel"/>
    <w:tmpl w:val="C39C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363CE3"/>
    <w:multiLevelType w:val="hybridMultilevel"/>
    <w:tmpl w:val="7136C01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AC472F"/>
    <w:multiLevelType w:val="hybridMultilevel"/>
    <w:tmpl w:val="4DD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F02C3"/>
    <w:multiLevelType w:val="hybridMultilevel"/>
    <w:tmpl w:val="14C0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462F9"/>
    <w:multiLevelType w:val="hybridMultilevel"/>
    <w:tmpl w:val="470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86BD0"/>
    <w:multiLevelType w:val="hybridMultilevel"/>
    <w:tmpl w:val="9C16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030616">
    <w:abstractNumId w:val="13"/>
  </w:num>
  <w:num w:numId="2" w16cid:durableId="221137640">
    <w:abstractNumId w:val="7"/>
  </w:num>
  <w:num w:numId="3" w16cid:durableId="260337817">
    <w:abstractNumId w:val="9"/>
  </w:num>
  <w:num w:numId="4" w16cid:durableId="401223734">
    <w:abstractNumId w:val="5"/>
  </w:num>
  <w:num w:numId="5" w16cid:durableId="414473462">
    <w:abstractNumId w:val="0"/>
  </w:num>
  <w:num w:numId="6" w16cid:durableId="819349619">
    <w:abstractNumId w:val="3"/>
  </w:num>
  <w:num w:numId="7" w16cid:durableId="527835800">
    <w:abstractNumId w:val="10"/>
  </w:num>
  <w:num w:numId="8" w16cid:durableId="1201018731">
    <w:abstractNumId w:val="2"/>
  </w:num>
  <w:num w:numId="9" w16cid:durableId="1839274116">
    <w:abstractNumId w:val="12"/>
  </w:num>
  <w:num w:numId="10" w16cid:durableId="1139612299">
    <w:abstractNumId w:val="8"/>
  </w:num>
  <w:num w:numId="11" w16cid:durableId="1623075342">
    <w:abstractNumId w:val="4"/>
  </w:num>
  <w:num w:numId="12" w16cid:durableId="580919165">
    <w:abstractNumId w:val="6"/>
  </w:num>
  <w:num w:numId="13" w16cid:durableId="1134904317">
    <w:abstractNumId w:val="11"/>
  </w:num>
  <w:num w:numId="14" w16cid:durableId="42607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6D"/>
    <w:rsid w:val="000033F3"/>
    <w:rsid w:val="000050F5"/>
    <w:rsid w:val="00007631"/>
    <w:rsid w:val="00010B7E"/>
    <w:rsid w:val="0001549C"/>
    <w:rsid w:val="000203F2"/>
    <w:rsid w:val="00020CD5"/>
    <w:rsid w:val="00021DE0"/>
    <w:rsid w:val="00026D1B"/>
    <w:rsid w:val="000277B2"/>
    <w:rsid w:val="00030EFB"/>
    <w:rsid w:val="000324EC"/>
    <w:rsid w:val="0003464D"/>
    <w:rsid w:val="00041096"/>
    <w:rsid w:val="00041174"/>
    <w:rsid w:val="00042F96"/>
    <w:rsid w:val="0004317E"/>
    <w:rsid w:val="00044A98"/>
    <w:rsid w:val="00047ECE"/>
    <w:rsid w:val="000513E1"/>
    <w:rsid w:val="00051DBA"/>
    <w:rsid w:val="0005539B"/>
    <w:rsid w:val="00056D5A"/>
    <w:rsid w:val="00065C56"/>
    <w:rsid w:val="0006663E"/>
    <w:rsid w:val="00074C81"/>
    <w:rsid w:val="00077913"/>
    <w:rsid w:val="00077F05"/>
    <w:rsid w:val="00080B7C"/>
    <w:rsid w:val="000846EF"/>
    <w:rsid w:val="00085043"/>
    <w:rsid w:val="000874FE"/>
    <w:rsid w:val="000966C1"/>
    <w:rsid w:val="00097B78"/>
    <w:rsid w:val="000A6417"/>
    <w:rsid w:val="000B1BEA"/>
    <w:rsid w:val="000B46E9"/>
    <w:rsid w:val="000C5027"/>
    <w:rsid w:val="000C6BAE"/>
    <w:rsid w:val="000C6FC4"/>
    <w:rsid w:val="000C79A3"/>
    <w:rsid w:val="000D341F"/>
    <w:rsid w:val="000D3488"/>
    <w:rsid w:val="000D46C4"/>
    <w:rsid w:val="000F414C"/>
    <w:rsid w:val="000F79EA"/>
    <w:rsid w:val="00107577"/>
    <w:rsid w:val="001114F1"/>
    <w:rsid w:val="0011348C"/>
    <w:rsid w:val="001200D5"/>
    <w:rsid w:val="0012473A"/>
    <w:rsid w:val="00126A9B"/>
    <w:rsid w:val="00130D5E"/>
    <w:rsid w:val="00132E30"/>
    <w:rsid w:val="00133231"/>
    <w:rsid w:val="00136C1C"/>
    <w:rsid w:val="001401C7"/>
    <w:rsid w:val="001417D1"/>
    <w:rsid w:val="0015144C"/>
    <w:rsid w:val="00151FF3"/>
    <w:rsid w:val="00152A9E"/>
    <w:rsid w:val="00156501"/>
    <w:rsid w:val="001600B0"/>
    <w:rsid w:val="001648DC"/>
    <w:rsid w:val="00167A33"/>
    <w:rsid w:val="00170BF9"/>
    <w:rsid w:val="00173A70"/>
    <w:rsid w:val="0017780C"/>
    <w:rsid w:val="00177EFA"/>
    <w:rsid w:val="001851F7"/>
    <w:rsid w:val="00193FE9"/>
    <w:rsid w:val="001968F9"/>
    <w:rsid w:val="001A291D"/>
    <w:rsid w:val="001B0093"/>
    <w:rsid w:val="001B0F1D"/>
    <w:rsid w:val="001C1DE2"/>
    <w:rsid w:val="001C51DC"/>
    <w:rsid w:val="001C60D3"/>
    <w:rsid w:val="001C73A6"/>
    <w:rsid w:val="001D59A6"/>
    <w:rsid w:val="001E62B3"/>
    <w:rsid w:val="001F137D"/>
    <w:rsid w:val="001F3683"/>
    <w:rsid w:val="001F523D"/>
    <w:rsid w:val="001F5C33"/>
    <w:rsid w:val="001F7A3E"/>
    <w:rsid w:val="001F7D09"/>
    <w:rsid w:val="0020135E"/>
    <w:rsid w:val="0020340F"/>
    <w:rsid w:val="00204AEB"/>
    <w:rsid w:val="00212547"/>
    <w:rsid w:val="0021463E"/>
    <w:rsid w:val="00216DA9"/>
    <w:rsid w:val="002202CD"/>
    <w:rsid w:val="002207BF"/>
    <w:rsid w:val="0022091F"/>
    <w:rsid w:val="00224A3E"/>
    <w:rsid w:val="002255C7"/>
    <w:rsid w:val="002262F5"/>
    <w:rsid w:val="0023231C"/>
    <w:rsid w:val="0024330B"/>
    <w:rsid w:val="002434D4"/>
    <w:rsid w:val="0024365E"/>
    <w:rsid w:val="002439B1"/>
    <w:rsid w:val="00245876"/>
    <w:rsid w:val="002562B9"/>
    <w:rsid w:val="002601A3"/>
    <w:rsid w:val="00261002"/>
    <w:rsid w:val="00297BCA"/>
    <w:rsid w:val="002A3516"/>
    <w:rsid w:val="002A5FF8"/>
    <w:rsid w:val="002B1BD2"/>
    <w:rsid w:val="002B6CAF"/>
    <w:rsid w:val="002B7B4F"/>
    <w:rsid w:val="002C19FB"/>
    <w:rsid w:val="002C2298"/>
    <w:rsid w:val="002D0E35"/>
    <w:rsid w:val="002D13FD"/>
    <w:rsid w:val="002D7296"/>
    <w:rsid w:val="002E0D84"/>
    <w:rsid w:val="002E65C7"/>
    <w:rsid w:val="002F39F5"/>
    <w:rsid w:val="00300CEF"/>
    <w:rsid w:val="00304054"/>
    <w:rsid w:val="0031060B"/>
    <w:rsid w:val="00325A3D"/>
    <w:rsid w:val="003444CF"/>
    <w:rsid w:val="00344DA2"/>
    <w:rsid w:val="00346217"/>
    <w:rsid w:val="00352404"/>
    <w:rsid w:val="00356863"/>
    <w:rsid w:val="00366A20"/>
    <w:rsid w:val="00367DEC"/>
    <w:rsid w:val="0037286D"/>
    <w:rsid w:val="0037446C"/>
    <w:rsid w:val="00383151"/>
    <w:rsid w:val="00385CFB"/>
    <w:rsid w:val="00386292"/>
    <w:rsid w:val="00392A8C"/>
    <w:rsid w:val="003A0380"/>
    <w:rsid w:val="003B0D85"/>
    <w:rsid w:val="003B1DE7"/>
    <w:rsid w:val="003B396D"/>
    <w:rsid w:val="003C42B1"/>
    <w:rsid w:val="003C4CC6"/>
    <w:rsid w:val="003D2908"/>
    <w:rsid w:val="003D29D3"/>
    <w:rsid w:val="003D2C1E"/>
    <w:rsid w:val="003E0DF5"/>
    <w:rsid w:val="003E3BE7"/>
    <w:rsid w:val="003F25E3"/>
    <w:rsid w:val="00403371"/>
    <w:rsid w:val="004040BB"/>
    <w:rsid w:val="00407441"/>
    <w:rsid w:val="00410510"/>
    <w:rsid w:val="00410947"/>
    <w:rsid w:val="00412055"/>
    <w:rsid w:val="00413AC4"/>
    <w:rsid w:val="0041673B"/>
    <w:rsid w:val="00426E3B"/>
    <w:rsid w:val="004300F8"/>
    <w:rsid w:val="004308BD"/>
    <w:rsid w:val="00443D32"/>
    <w:rsid w:val="004443CF"/>
    <w:rsid w:val="00445BFB"/>
    <w:rsid w:val="00451DBE"/>
    <w:rsid w:val="00455DF4"/>
    <w:rsid w:val="0045752A"/>
    <w:rsid w:val="004626D1"/>
    <w:rsid w:val="00467974"/>
    <w:rsid w:val="00476F71"/>
    <w:rsid w:val="004776E8"/>
    <w:rsid w:val="00484774"/>
    <w:rsid w:val="00491D91"/>
    <w:rsid w:val="00493297"/>
    <w:rsid w:val="00494322"/>
    <w:rsid w:val="004B1593"/>
    <w:rsid w:val="004B3E72"/>
    <w:rsid w:val="004B3F2E"/>
    <w:rsid w:val="004C075D"/>
    <w:rsid w:val="004C408B"/>
    <w:rsid w:val="004C7D04"/>
    <w:rsid w:val="004D08CE"/>
    <w:rsid w:val="004D3E23"/>
    <w:rsid w:val="004D652F"/>
    <w:rsid w:val="004D6C64"/>
    <w:rsid w:val="004E6E07"/>
    <w:rsid w:val="004F07C8"/>
    <w:rsid w:val="004F0EFD"/>
    <w:rsid w:val="004F2682"/>
    <w:rsid w:val="004F2DB3"/>
    <w:rsid w:val="005067F8"/>
    <w:rsid w:val="005076E8"/>
    <w:rsid w:val="005127FB"/>
    <w:rsid w:val="00517465"/>
    <w:rsid w:val="00517C3D"/>
    <w:rsid w:val="005367BB"/>
    <w:rsid w:val="00540A50"/>
    <w:rsid w:val="005440A8"/>
    <w:rsid w:val="00546D98"/>
    <w:rsid w:val="005479DE"/>
    <w:rsid w:val="00552C8A"/>
    <w:rsid w:val="00555131"/>
    <w:rsid w:val="00555405"/>
    <w:rsid w:val="00556F38"/>
    <w:rsid w:val="00560798"/>
    <w:rsid w:val="005704A4"/>
    <w:rsid w:val="00575C6D"/>
    <w:rsid w:val="0057674F"/>
    <w:rsid w:val="00577875"/>
    <w:rsid w:val="00584CBE"/>
    <w:rsid w:val="00587D88"/>
    <w:rsid w:val="00597D07"/>
    <w:rsid w:val="005A2D06"/>
    <w:rsid w:val="005A475F"/>
    <w:rsid w:val="005A52F5"/>
    <w:rsid w:val="005B3021"/>
    <w:rsid w:val="005C6AF3"/>
    <w:rsid w:val="005D08F4"/>
    <w:rsid w:val="005D33F4"/>
    <w:rsid w:val="005E0D6B"/>
    <w:rsid w:val="005E242B"/>
    <w:rsid w:val="005E557D"/>
    <w:rsid w:val="005E7B86"/>
    <w:rsid w:val="005F22F4"/>
    <w:rsid w:val="00605688"/>
    <w:rsid w:val="006065E4"/>
    <w:rsid w:val="006128C4"/>
    <w:rsid w:val="00617658"/>
    <w:rsid w:val="00617FE0"/>
    <w:rsid w:val="00625B5B"/>
    <w:rsid w:val="006276FF"/>
    <w:rsid w:val="006344CE"/>
    <w:rsid w:val="00635374"/>
    <w:rsid w:val="00643381"/>
    <w:rsid w:val="00643D6E"/>
    <w:rsid w:val="0065339F"/>
    <w:rsid w:val="00655EE5"/>
    <w:rsid w:val="00657BDD"/>
    <w:rsid w:val="00662F54"/>
    <w:rsid w:val="00663DCB"/>
    <w:rsid w:val="00666AE6"/>
    <w:rsid w:val="00670464"/>
    <w:rsid w:val="006869C5"/>
    <w:rsid w:val="006874FB"/>
    <w:rsid w:val="00690899"/>
    <w:rsid w:val="00691257"/>
    <w:rsid w:val="006929EC"/>
    <w:rsid w:val="0069608B"/>
    <w:rsid w:val="006960FC"/>
    <w:rsid w:val="006975B7"/>
    <w:rsid w:val="006B27E7"/>
    <w:rsid w:val="006B5779"/>
    <w:rsid w:val="006C53A4"/>
    <w:rsid w:val="006C6E8E"/>
    <w:rsid w:val="006D0BC0"/>
    <w:rsid w:val="006D4CB5"/>
    <w:rsid w:val="006D64F8"/>
    <w:rsid w:val="006D7E6D"/>
    <w:rsid w:val="006E3B6A"/>
    <w:rsid w:val="006E562F"/>
    <w:rsid w:val="006F280C"/>
    <w:rsid w:val="006F29AB"/>
    <w:rsid w:val="006F2AC8"/>
    <w:rsid w:val="007025EB"/>
    <w:rsid w:val="00702973"/>
    <w:rsid w:val="007073FA"/>
    <w:rsid w:val="0071106D"/>
    <w:rsid w:val="00711637"/>
    <w:rsid w:val="00713142"/>
    <w:rsid w:val="00714180"/>
    <w:rsid w:val="00722464"/>
    <w:rsid w:val="00722F56"/>
    <w:rsid w:val="0072455D"/>
    <w:rsid w:val="00724B0D"/>
    <w:rsid w:val="007263AD"/>
    <w:rsid w:val="007313DE"/>
    <w:rsid w:val="0073231C"/>
    <w:rsid w:val="00740CC1"/>
    <w:rsid w:val="00740E3B"/>
    <w:rsid w:val="00741445"/>
    <w:rsid w:val="007414FB"/>
    <w:rsid w:val="0074326E"/>
    <w:rsid w:val="0074616E"/>
    <w:rsid w:val="00764378"/>
    <w:rsid w:val="00764965"/>
    <w:rsid w:val="00767017"/>
    <w:rsid w:val="00783FE2"/>
    <w:rsid w:val="00785961"/>
    <w:rsid w:val="00786352"/>
    <w:rsid w:val="00794762"/>
    <w:rsid w:val="00795947"/>
    <w:rsid w:val="007B0723"/>
    <w:rsid w:val="007B717C"/>
    <w:rsid w:val="007B7809"/>
    <w:rsid w:val="007B7A23"/>
    <w:rsid w:val="007C250A"/>
    <w:rsid w:val="007C2F15"/>
    <w:rsid w:val="007C3877"/>
    <w:rsid w:val="007C541C"/>
    <w:rsid w:val="007D065F"/>
    <w:rsid w:val="007D492F"/>
    <w:rsid w:val="007E0007"/>
    <w:rsid w:val="007E0DEF"/>
    <w:rsid w:val="007E23CB"/>
    <w:rsid w:val="007E28FA"/>
    <w:rsid w:val="007E2945"/>
    <w:rsid w:val="007F0D45"/>
    <w:rsid w:val="007F29D5"/>
    <w:rsid w:val="007F3445"/>
    <w:rsid w:val="007F3705"/>
    <w:rsid w:val="007F605E"/>
    <w:rsid w:val="008062DB"/>
    <w:rsid w:val="00810333"/>
    <w:rsid w:val="00817F5C"/>
    <w:rsid w:val="00825CC9"/>
    <w:rsid w:val="0083555C"/>
    <w:rsid w:val="00840752"/>
    <w:rsid w:val="0084648D"/>
    <w:rsid w:val="00861B9D"/>
    <w:rsid w:val="00862391"/>
    <w:rsid w:val="00862AD6"/>
    <w:rsid w:val="0086423F"/>
    <w:rsid w:val="008652E4"/>
    <w:rsid w:val="00867242"/>
    <w:rsid w:val="008677A9"/>
    <w:rsid w:val="00870D2C"/>
    <w:rsid w:val="008735AE"/>
    <w:rsid w:val="008742C0"/>
    <w:rsid w:val="008774C7"/>
    <w:rsid w:val="00884262"/>
    <w:rsid w:val="0088512F"/>
    <w:rsid w:val="00885507"/>
    <w:rsid w:val="0088554B"/>
    <w:rsid w:val="008913FC"/>
    <w:rsid w:val="00895F21"/>
    <w:rsid w:val="008968AD"/>
    <w:rsid w:val="008968F7"/>
    <w:rsid w:val="008A1884"/>
    <w:rsid w:val="008A4500"/>
    <w:rsid w:val="008B0E52"/>
    <w:rsid w:val="008B289E"/>
    <w:rsid w:val="008B2A1A"/>
    <w:rsid w:val="008C308A"/>
    <w:rsid w:val="008C3EAB"/>
    <w:rsid w:val="008C7F80"/>
    <w:rsid w:val="008D12C6"/>
    <w:rsid w:val="008D2929"/>
    <w:rsid w:val="008E0EF7"/>
    <w:rsid w:val="008E1543"/>
    <w:rsid w:val="008E3501"/>
    <w:rsid w:val="008E4175"/>
    <w:rsid w:val="008F07DA"/>
    <w:rsid w:val="008F19A9"/>
    <w:rsid w:val="008F41CD"/>
    <w:rsid w:val="00901B41"/>
    <w:rsid w:val="0091133B"/>
    <w:rsid w:val="009147EF"/>
    <w:rsid w:val="00916DA4"/>
    <w:rsid w:val="00917058"/>
    <w:rsid w:val="0092375E"/>
    <w:rsid w:val="00926328"/>
    <w:rsid w:val="00931684"/>
    <w:rsid w:val="00931F8E"/>
    <w:rsid w:val="00940DA2"/>
    <w:rsid w:val="00944171"/>
    <w:rsid w:val="009540C7"/>
    <w:rsid w:val="00956C61"/>
    <w:rsid w:val="0095732F"/>
    <w:rsid w:val="009608AB"/>
    <w:rsid w:val="00965DAA"/>
    <w:rsid w:val="0097500B"/>
    <w:rsid w:val="0097524C"/>
    <w:rsid w:val="009758C5"/>
    <w:rsid w:val="00976E5D"/>
    <w:rsid w:val="00982624"/>
    <w:rsid w:val="00982D71"/>
    <w:rsid w:val="00984A3B"/>
    <w:rsid w:val="00985FD0"/>
    <w:rsid w:val="00986520"/>
    <w:rsid w:val="00993887"/>
    <w:rsid w:val="00996562"/>
    <w:rsid w:val="0099665E"/>
    <w:rsid w:val="009A0733"/>
    <w:rsid w:val="009A16FC"/>
    <w:rsid w:val="009A52F0"/>
    <w:rsid w:val="009A5C18"/>
    <w:rsid w:val="009A5CD2"/>
    <w:rsid w:val="009B22BB"/>
    <w:rsid w:val="009B55F3"/>
    <w:rsid w:val="009D39AD"/>
    <w:rsid w:val="009D6D71"/>
    <w:rsid w:val="009D7845"/>
    <w:rsid w:val="009E253A"/>
    <w:rsid w:val="009F1450"/>
    <w:rsid w:val="009F4D6B"/>
    <w:rsid w:val="009F5630"/>
    <w:rsid w:val="00A02970"/>
    <w:rsid w:val="00A05FE8"/>
    <w:rsid w:val="00A06048"/>
    <w:rsid w:val="00A06B37"/>
    <w:rsid w:val="00A06E71"/>
    <w:rsid w:val="00A14E53"/>
    <w:rsid w:val="00A158F6"/>
    <w:rsid w:val="00A210F9"/>
    <w:rsid w:val="00A216E9"/>
    <w:rsid w:val="00A22A95"/>
    <w:rsid w:val="00A24CC0"/>
    <w:rsid w:val="00A266AC"/>
    <w:rsid w:val="00A2779D"/>
    <w:rsid w:val="00A32742"/>
    <w:rsid w:val="00A3588C"/>
    <w:rsid w:val="00A40A8A"/>
    <w:rsid w:val="00A47814"/>
    <w:rsid w:val="00A50804"/>
    <w:rsid w:val="00A559CC"/>
    <w:rsid w:val="00A61CEB"/>
    <w:rsid w:val="00A62529"/>
    <w:rsid w:val="00A64284"/>
    <w:rsid w:val="00A6551A"/>
    <w:rsid w:val="00A66171"/>
    <w:rsid w:val="00A705E6"/>
    <w:rsid w:val="00A7700A"/>
    <w:rsid w:val="00A775EC"/>
    <w:rsid w:val="00A81D59"/>
    <w:rsid w:val="00A8205C"/>
    <w:rsid w:val="00A857B9"/>
    <w:rsid w:val="00A93512"/>
    <w:rsid w:val="00A94E66"/>
    <w:rsid w:val="00AA27A8"/>
    <w:rsid w:val="00AA5936"/>
    <w:rsid w:val="00AA61C8"/>
    <w:rsid w:val="00AA7AC3"/>
    <w:rsid w:val="00AB2B30"/>
    <w:rsid w:val="00AB7D29"/>
    <w:rsid w:val="00AC0218"/>
    <w:rsid w:val="00AC1A13"/>
    <w:rsid w:val="00AC36C8"/>
    <w:rsid w:val="00AC62B0"/>
    <w:rsid w:val="00AC73B3"/>
    <w:rsid w:val="00AE25F4"/>
    <w:rsid w:val="00AE3D9D"/>
    <w:rsid w:val="00AF48C6"/>
    <w:rsid w:val="00B006F6"/>
    <w:rsid w:val="00B06068"/>
    <w:rsid w:val="00B16E25"/>
    <w:rsid w:val="00B1792D"/>
    <w:rsid w:val="00B21395"/>
    <w:rsid w:val="00B21BE7"/>
    <w:rsid w:val="00B21C02"/>
    <w:rsid w:val="00B23EE4"/>
    <w:rsid w:val="00B3080C"/>
    <w:rsid w:val="00B30D8F"/>
    <w:rsid w:val="00B34A98"/>
    <w:rsid w:val="00B34D37"/>
    <w:rsid w:val="00B37EA8"/>
    <w:rsid w:val="00B413E3"/>
    <w:rsid w:val="00B424AA"/>
    <w:rsid w:val="00B42C59"/>
    <w:rsid w:val="00B43016"/>
    <w:rsid w:val="00B47E4D"/>
    <w:rsid w:val="00B50236"/>
    <w:rsid w:val="00B50E3C"/>
    <w:rsid w:val="00B53083"/>
    <w:rsid w:val="00B56569"/>
    <w:rsid w:val="00B677C2"/>
    <w:rsid w:val="00B70230"/>
    <w:rsid w:val="00B7133C"/>
    <w:rsid w:val="00B920ED"/>
    <w:rsid w:val="00BB3490"/>
    <w:rsid w:val="00BC29D5"/>
    <w:rsid w:val="00BC4AE8"/>
    <w:rsid w:val="00BC58AB"/>
    <w:rsid w:val="00BC6542"/>
    <w:rsid w:val="00BC7D32"/>
    <w:rsid w:val="00BD15F0"/>
    <w:rsid w:val="00BD37DB"/>
    <w:rsid w:val="00BE0AC5"/>
    <w:rsid w:val="00BE1551"/>
    <w:rsid w:val="00BE17D2"/>
    <w:rsid w:val="00BE195F"/>
    <w:rsid w:val="00BE4942"/>
    <w:rsid w:val="00BE66E2"/>
    <w:rsid w:val="00BE66F0"/>
    <w:rsid w:val="00BF0CFA"/>
    <w:rsid w:val="00BF1110"/>
    <w:rsid w:val="00BF1FBF"/>
    <w:rsid w:val="00BF2265"/>
    <w:rsid w:val="00BF3084"/>
    <w:rsid w:val="00BF3690"/>
    <w:rsid w:val="00BF3762"/>
    <w:rsid w:val="00BF435E"/>
    <w:rsid w:val="00C00550"/>
    <w:rsid w:val="00C0485E"/>
    <w:rsid w:val="00C110C2"/>
    <w:rsid w:val="00C2316F"/>
    <w:rsid w:val="00C30BFE"/>
    <w:rsid w:val="00C3144E"/>
    <w:rsid w:val="00C31770"/>
    <w:rsid w:val="00C318A5"/>
    <w:rsid w:val="00C36405"/>
    <w:rsid w:val="00C368E7"/>
    <w:rsid w:val="00C36B08"/>
    <w:rsid w:val="00C40230"/>
    <w:rsid w:val="00C459AE"/>
    <w:rsid w:val="00C4777C"/>
    <w:rsid w:val="00C571B1"/>
    <w:rsid w:val="00C5755F"/>
    <w:rsid w:val="00C64699"/>
    <w:rsid w:val="00C65188"/>
    <w:rsid w:val="00C70473"/>
    <w:rsid w:val="00C71DE4"/>
    <w:rsid w:val="00C7603A"/>
    <w:rsid w:val="00C82BFF"/>
    <w:rsid w:val="00C835F2"/>
    <w:rsid w:val="00C83A9F"/>
    <w:rsid w:val="00C8465A"/>
    <w:rsid w:val="00C84862"/>
    <w:rsid w:val="00C96817"/>
    <w:rsid w:val="00CA0D1C"/>
    <w:rsid w:val="00CA1B3F"/>
    <w:rsid w:val="00CA1B4C"/>
    <w:rsid w:val="00CA6BC5"/>
    <w:rsid w:val="00CB251C"/>
    <w:rsid w:val="00CB6647"/>
    <w:rsid w:val="00CC0FB3"/>
    <w:rsid w:val="00CC36C8"/>
    <w:rsid w:val="00CC4911"/>
    <w:rsid w:val="00CC4B5A"/>
    <w:rsid w:val="00CC7EE4"/>
    <w:rsid w:val="00CD24AF"/>
    <w:rsid w:val="00CD2A1A"/>
    <w:rsid w:val="00CD2B1C"/>
    <w:rsid w:val="00CD6947"/>
    <w:rsid w:val="00CE0465"/>
    <w:rsid w:val="00CE04F7"/>
    <w:rsid w:val="00CE722D"/>
    <w:rsid w:val="00CF0516"/>
    <w:rsid w:val="00CF5EE5"/>
    <w:rsid w:val="00CF6EAC"/>
    <w:rsid w:val="00D05CA0"/>
    <w:rsid w:val="00D146F3"/>
    <w:rsid w:val="00D17B82"/>
    <w:rsid w:val="00D17D53"/>
    <w:rsid w:val="00D20DE7"/>
    <w:rsid w:val="00D25944"/>
    <w:rsid w:val="00D31F9F"/>
    <w:rsid w:val="00D337AA"/>
    <w:rsid w:val="00D3431F"/>
    <w:rsid w:val="00D36281"/>
    <w:rsid w:val="00D37026"/>
    <w:rsid w:val="00D3743F"/>
    <w:rsid w:val="00D40414"/>
    <w:rsid w:val="00D40991"/>
    <w:rsid w:val="00D40A3D"/>
    <w:rsid w:val="00D42049"/>
    <w:rsid w:val="00D44347"/>
    <w:rsid w:val="00D50507"/>
    <w:rsid w:val="00D535D4"/>
    <w:rsid w:val="00D5377E"/>
    <w:rsid w:val="00D54423"/>
    <w:rsid w:val="00D572E8"/>
    <w:rsid w:val="00D617D2"/>
    <w:rsid w:val="00D64FBB"/>
    <w:rsid w:val="00D70176"/>
    <w:rsid w:val="00D720DE"/>
    <w:rsid w:val="00D72955"/>
    <w:rsid w:val="00D75125"/>
    <w:rsid w:val="00D96C0A"/>
    <w:rsid w:val="00D973FE"/>
    <w:rsid w:val="00DA0097"/>
    <w:rsid w:val="00DA5F6D"/>
    <w:rsid w:val="00DA7C51"/>
    <w:rsid w:val="00DB00CD"/>
    <w:rsid w:val="00DB1238"/>
    <w:rsid w:val="00DB1A35"/>
    <w:rsid w:val="00DB1E92"/>
    <w:rsid w:val="00DC2AEE"/>
    <w:rsid w:val="00DC33D3"/>
    <w:rsid w:val="00DC3ECB"/>
    <w:rsid w:val="00DC3FE9"/>
    <w:rsid w:val="00DC4F0E"/>
    <w:rsid w:val="00DD3895"/>
    <w:rsid w:val="00DD4F06"/>
    <w:rsid w:val="00DD7BD2"/>
    <w:rsid w:val="00DE06C5"/>
    <w:rsid w:val="00DE0D04"/>
    <w:rsid w:val="00DE2579"/>
    <w:rsid w:val="00DE7592"/>
    <w:rsid w:val="00DF0749"/>
    <w:rsid w:val="00DF42AB"/>
    <w:rsid w:val="00DF5C7B"/>
    <w:rsid w:val="00DF6F73"/>
    <w:rsid w:val="00E02449"/>
    <w:rsid w:val="00E033B3"/>
    <w:rsid w:val="00E06644"/>
    <w:rsid w:val="00E06811"/>
    <w:rsid w:val="00E10B04"/>
    <w:rsid w:val="00E13138"/>
    <w:rsid w:val="00E22BE8"/>
    <w:rsid w:val="00E236EE"/>
    <w:rsid w:val="00E265D5"/>
    <w:rsid w:val="00E32256"/>
    <w:rsid w:val="00E3326E"/>
    <w:rsid w:val="00E44C6C"/>
    <w:rsid w:val="00E530FE"/>
    <w:rsid w:val="00E5673C"/>
    <w:rsid w:val="00E5752B"/>
    <w:rsid w:val="00E640CC"/>
    <w:rsid w:val="00E726EB"/>
    <w:rsid w:val="00E80C90"/>
    <w:rsid w:val="00E83384"/>
    <w:rsid w:val="00E86E2D"/>
    <w:rsid w:val="00E87927"/>
    <w:rsid w:val="00E94692"/>
    <w:rsid w:val="00E95D9B"/>
    <w:rsid w:val="00E96D01"/>
    <w:rsid w:val="00EA78E1"/>
    <w:rsid w:val="00EA7963"/>
    <w:rsid w:val="00EB3FBD"/>
    <w:rsid w:val="00EC4615"/>
    <w:rsid w:val="00EC52F8"/>
    <w:rsid w:val="00ED1F50"/>
    <w:rsid w:val="00ED3522"/>
    <w:rsid w:val="00ED7A6F"/>
    <w:rsid w:val="00EE0699"/>
    <w:rsid w:val="00EE21B5"/>
    <w:rsid w:val="00EE2BA8"/>
    <w:rsid w:val="00EE3CAE"/>
    <w:rsid w:val="00EE7294"/>
    <w:rsid w:val="00EE7585"/>
    <w:rsid w:val="00EE78C0"/>
    <w:rsid w:val="00EF6038"/>
    <w:rsid w:val="00EF609F"/>
    <w:rsid w:val="00EF6E98"/>
    <w:rsid w:val="00F00052"/>
    <w:rsid w:val="00F014DE"/>
    <w:rsid w:val="00F016A3"/>
    <w:rsid w:val="00F02D3F"/>
    <w:rsid w:val="00F0579F"/>
    <w:rsid w:val="00F12553"/>
    <w:rsid w:val="00F167DC"/>
    <w:rsid w:val="00F22304"/>
    <w:rsid w:val="00F27A83"/>
    <w:rsid w:val="00F332C6"/>
    <w:rsid w:val="00F34854"/>
    <w:rsid w:val="00F466F3"/>
    <w:rsid w:val="00F478DD"/>
    <w:rsid w:val="00F52DB4"/>
    <w:rsid w:val="00F5395B"/>
    <w:rsid w:val="00F61A86"/>
    <w:rsid w:val="00F62ABF"/>
    <w:rsid w:val="00F63A4F"/>
    <w:rsid w:val="00F7490E"/>
    <w:rsid w:val="00F83C16"/>
    <w:rsid w:val="00F83E60"/>
    <w:rsid w:val="00F85B59"/>
    <w:rsid w:val="00F905CD"/>
    <w:rsid w:val="00F968D3"/>
    <w:rsid w:val="00FA3229"/>
    <w:rsid w:val="00FA3C27"/>
    <w:rsid w:val="00FA4811"/>
    <w:rsid w:val="00FA4DD4"/>
    <w:rsid w:val="00FA7A4E"/>
    <w:rsid w:val="00FB0A09"/>
    <w:rsid w:val="00FB37B0"/>
    <w:rsid w:val="00FB7B29"/>
    <w:rsid w:val="00FC3479"/>
    <w:rsid w:val="00FC5C2C"/>
    <w:rsid w:val="00FD5259"/>
    <w:rsid w:val="00FE01FB"/>
    <w:rsid w:val="00FF0B1C"/>
    <w:rsid w:val="00FF5489"/>
    <w:rsid w:val="00FF5A06"/>
    <w:rsid w:val="09F3E030"/>
    <w:rsid w:val="158ECEDF"/>
    <w:rsid w:val="4417A882"/>
    <w:rsid w:val="4E119560"/>
    <w:rsid w:val="5991E630"/>
    <w:rsid w:val="76277A84"/>
    <w:rsid w:val="78D5F7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C89E3"/>
  <w15:docId w15:val="{42611B5F-1E64-439A-B711-2B6C1B9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E6D"/>
    <w:pPr>
      <w:spacing w:after="240" w:line="240" w:lineRule="atLeast"/>
      <w:jc w:val="both"/>
    </w:pPr>
    <w:rPr>
      <w:rFonts w:ascii="Arial" w:eastAsia="Times New Roman" w:hAnsi="Arial" w:cs="Times New Roman"/>
      <w:sz w:val="20"/>
      <w:szCs w:val="20"/>
      <w:lang w:val="en-GB" w:eastAsia="en-US" w:bidi="ar-SA"/>
    </w:rPr>
  </w:style>
  <w:style w:type="paragraph" w:styleId="Heading2">
    <w:name w:val="heading 2"/>
    <w:basedOn w:val="Normal"/>
    <w:next w:val="Normal"/>
    <w:link w:val="Heading2Char"/>
    <w:uiPriority w:val="9"/>
    <w:semiHidden/>
    <w:unhideWhenUsed/>
    <w:qFormat/>
    <w:rsid w:val="00B42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42C59"/>
    <w:pPr>
      <w:widowControl w:val="0"/>
      <w:autoSpaceDE w:val="0"/>
      <w:autoSpaceDN w:val="0"/>
      <w:spacing w:after="0" w:line="240" w:lineRule="auto"/>
      <w:ind w:left="153"/>
      <w:outlineLvl w:val="2"/>
    </w:pPr>
    <w:rPr>
      <w:rFonts w:eastAsia="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7E6D"/>
    <w:pPr>
      <w:tabs>
        <w:tab w:val="center" w:pos="3856"/>
        <w:tab w:val="right" w:pos="7711"/>
      </w:tabs>
      <w:spacing w:after="0"/>
    </w:pPr>
  </w:style>
  <w:style w:type="character" w:customStyle="1" w:styleId="HeaderChar">
    <w:name w:val="Header Char"/>
    <w:basedOn w:val="DefaultParagraphFont"/>
    <w:link w:val="Header"/>
    <w:rsid w:val="006D7E6D"/>
    <w:rPr>
      <w:rFonts w:ascii="Arial" w:eastAsia="Times New Roman" w:hAnsi="Arial" w:cs="Times New Roman"/>
      <w:sz w:val="20"/>
      <w:szCs w:val="20"/>
      <w:lang w:val="en-GB" w:eastAsia="en-US" w:bidi="ar-SA"/>
    </w:rPr>
  </w:style>
  <w:style w:type="paragraph" w:styleId="Footer">
    <w:name w:val="footer"/>
    <w:basedOn w:val="Normal"/>
    <w:link w:val="FooterChar"/>
    <w:rsid w:val="006D7E6D"/>
    <w:pPr>
      <w:tabs>
        <w:tab w:val="center" w:pos="3856"/>
        <w:tab w:val="right" w:pos="7711"/>
      </w:tabs>
      <w:spacing w:after="0"/>
    </w:pPr>
  </w:style>
  <w:style w:type="character" w:customStyle="1" w:styleId="FooterChar">
    <w:name w:val="Footer Char"/>
    <w:basedOn w:val="DefaultParagraphFont"/>
    <w:link w:val="Footer"/>
    <w:rsid w:val="006D7E6D"/>
    <w:rPr>
      <w:rFonts w:ascii="Arial" w:eastAsia="Times New Roman" w:hAnsi="Arial" w:cs="Times New Roman"/>
      <w:sz w:val="20"/>
      <w:szCs w:val="20"/>
      <w:lang w:val="en-GB" w:eastAsia="en-US" w:bidi="ar-SA"/>
    </w:rPr>
  </w:style>
  <w:style w:type="paragraph" w:customStyle="1" w:styleId="SavillsAddress">
    <w:name w:val="SavillsAddress"/>
    <w:basedOn w:val="Normal"/>
    <w:rsid w:val="006D7E6D"/>
    <w:pPr>
      <w:spacing w:after="0" w:line="200" w:lineRule="atLeast"/>
      <w:jc w:val="right"/>
    </w:pPr>
    <w:rPr>
      <w:sz w:val="16"/>
      <w:szCs w:val="16"/>
    </w:rPr>
  </w:style>
  <w:style w:type="paragraph" w:customStyle="1" w:styleId="SavillsLogoCol">
    <w:name w:val="SavillsLogoCol"/>
    <w:basedOn w:val="Normal"/>
    <w:rsid w:val="006D7E6D"/>
    <w:pPr>
      <w:tabs>
        <w:tab w:val="center" w:pos="3856"/>
        <w:tab w:val="right" w:pos="7711"/>
      </w:tabs>
      <w:spacing w:after="0"/>
      <w:jc w:val="right"/>
    </w:pPr>
    <w:rPr>
      <w:rFonts w:ascii="Logo Savills" w:hAnsi="Logo Savills"/>
      <w:vanish/>
      <w:color w:val="FFFF00"/>
      <w:sz w:val="166"/>
      <w:szCs w:val="166"/>
    </w:rPr>
  </w:style>
  <w:style w:type="paragraph" w:customStyle="1" w:styleId="SavillsLogoBW">
    <w:name w:val="SavillsLogoB&amp;W"/>
    <w:basedOn w:val="SavillsLogoCol"/>
    <w:rsid w:val="006D7E6D"/>
    <w:pPr>
      <w:tabs>
        <w:tab w:val="clear" w:pos="3856"/>
        <w:tab w:val="clear" w:pos="7711"/>
      </w:tabs>
    </w:pPr>
    <w:rPr>
      <w:color w:val="auto"/>
      <w:sz w:val="126"/>
      <w:szCs w:val="126"/>
    </w:rPr>
  </w:style>
  <w:style w:type="paragraph" w:customStyle="1" w:styleId="HeaderTitle">
    <w:name w:val="HeaderTitle"/>
    <w:basedOn w:val="Header"/>
    <w:next w:val="Header"/>
    <w:rsid w:val="006D7E6D"/>
    <w:rPr>
      <w:vanish/>
      <w:color w:val="FF0000"/>
      <w:sz w:val="32"/>
      <w:szCs w:val="32"/>
    </w:rPr>
  </w:style>
  <w:style w:type="paragraph" w:customStyle="1" w:styleId="HorizontalText">
    <w:name w:val="HorizontalText"/>
    <w:basedOn w:val="Normal"/>
    <w:rsid w:val="006D7E6D"/>
    <w:rPr>
      <w:color w:val="C0C0C0"/>
      <w:sz w:val="60"/>
      <w:szCs w:val="60"/>
    </w:rPr>
  </w:style>
  <w:style w:type="paragraph" w:customStyle="1" w:styleId="HeaderJobCont">
    <w:name w:val="HeaderJobCont"/>
    <w:basedOn w:val="Normal"/>
    <w:rsid w:val="006D7E6D"/>
    <w:pPr>
      <w:tabs>
        <w:tab w:val="center" w:pos="3856"/>
        <w:tab w:val="right" w:pos="7711"/>
      </w:tabs>
      <w:spacing w:after="0"/>
    </w:pPr>
    <w:rPr>
      <w:vanish/>
    </w:rPr>
  </w:style>
  <w:style w:type="paragraph" w:styleId="ListParagraph">
    <w:name w:val="List Paragraph"/>
    <w:basedOn w:val="Normal"/>
    <w:uiPriority w:val="34"/>
    <w:qFormat/>
    <w:rsid w:val="006D7E6D"/>
    <w:pPr>
      <w:ind w:left="720"/>
      <w:contextualSpacing/>
    </w:pPr>
  </w:style>
  <w:style w:type="paragraph" w:styleId="NormalWeb">
    <w:name w:val="Normal (Web)"/>
    <w:basedOn w:val="Normal"/>
    <w:uiPriority w:val="99"/>
    <w:unhideWhenUsed/>
    <w:rsid w:val="0031060B"/>
    <w:pPr>
      <w:spacing w:before="100" w:beforeAutospacing="1" w:after="100" w:afterAutospacing="1" w:line="240" w:lineRule="auto"/>
      <w:jc w:val="left"/>
    </w:pPr>
    <w:rPr>
      <w:rFonts w:ascii="Times New Roman" w:hAnsi="Times New Roman"/>
      <w:sz w:val="24"/>
      <w:szCs w:val="24"/>
      <w:lang w:val="en-US" w:eastAsia="zh-CN" w:bidi="th-TH"/>
    </w:rPr>
  </w:style>
  <w:style w:type="paragraph" w:styleId="Caption">
    <w:name w:val="caption"/>
    <w:basedOn w:val="Normal"/>
    <w:next w:val="Normal"/>
    <w:uiPriority w:val="35"/>
    <w:unhideWhenUsed/>
    <w:qFormat/>
    <w:rsid w:val="00D05CA0"/>
    <w:pPr>
      <w:spacing w:after="200" w:line="240" w:lineRule="auto"/>
    </w:pPr>
    <w:rPr>
      <w:i/>
      <w:iCs/>
      <w:color w:val="44546A" w:themeColor="text2"/>
      <w:sz w:val="18"/>
      <w:szCs w:val="18"/>
    </w:rPr>
  </w:style>
  <w:style w:type="paragraph" w:customStyle="1" w:styleId="msonormal0">
    <w:name w:val="msonormal"/>
    <w:basedOn w:val="Normal"/>
    <w:rsid w:val="00AB2B30"/>
    <w:pPr>
      <w:spacing w:before="100" w:beforeAutospacing="1" w:after="100" w:afterAutospacing="1" w:line="240" w:lineRule="auto"/>
      <w:jc w:val="left"/>
    </w:pPr>
    <w:rPr>
      <w:rFonts w:ascii="Times New Roman" w:hAnsi="Times New Roman"/>
      <w:sz w:val="24"/>
      <w:szCs w:val="24"/>
      <w:lang w:val="en-US" w:eastAsia="zh-CN" w:bidi="th-TH"/>
    </w:rPr>
  </w:style>
  <w:style w:type="paragraph" w:customStyle="1" w:styleId="paragraph">
    <w:name w:val="paragraph"/>
    <w:basedOn w:val="Normal"/>
    <w:rsid w:val="00AB2B30"/>
    <w:pPr>
      <w:spacing w:before="100" w:beforeAutospacing="1" w:after="100" w:afterAutospacing="1" w:line="240" w:lineRule="auto"/>
      <w:jc w:val="left"/>
    </w:pPr>
    <w:rPr>
      <w:rFonts w:ascii="Times New Roman" w:hAnsi="Times New Roman"/>
      <w:sz w:val="24"/>
      <w:szCs w:val="24"/>
      <w:lang w:val="en-US" w:eastAsia="zh-CN" w:bidi="th-TH"/>
    </w:rPr>
  </w:style>
  <w:style w:type="character" w:customStyle="1" w:styleId="textrun">
    <w:name w:val="textrun"/>
    <w:basedOn w:val="DefaultParagraphFont"/>
    <w:rsid w:val="00AB2B30"/>
  </w:style>
  <w:style w:type="character" w:customStyle="1" w:styleId="normaltextrun">
    <w:name w:val="normaltextrun"/>
    <w:basedOn w:val="DefaultParagraphFont"/>
    <w:qFormat/>
    <w:rsid w:val="00AB2B30"/>
  </w:style>
  <w:style w:type="character" w:customStyle="1" w:styleId="eop">
    <w:name w:val="eop"/>
    <w:basedOn w:val="DefaultParagraphFont"/>
    <w:rsid w:val="00AB2B30"/>
  </w:style>
  <w:style w:type="character" w:customStyle="1" w:styleId="wacimagecontainer">
    <w:name w:val="wacimagecontainer"/>
    <w:basedOn w:val="DefaultParagraphFont"/>
    <w:rsid w:val="00AB2B30"/>
  </w:style>
  <w:style w:type="character" w:customStyle="1" w:styleId="wacimageborder">
    <w:name w:val="wacimageborder"/>
    <w:basedOn w:val="DefaultParagraphFont"/>
    <w:rsid w:val="00AB2B30"/>
  </w:style>
  <w:style w:type="paragraph" w:styleId="Date">
    <w:name w:val="Date"/>
    <w:basedOn w:val="Normal"/>
    <w:next w:val="Normal"/>
    <w:link w:val="DateChar"/>
    <w:uiPriority w:val="99"/>
    <w:semiHidden/>
    <w:unhideWhenUsed/>
    <w:rsid w:val="005440A8"/>
  </w:style>
  <w:style w:type="character" w:customStyle="1" w:styleId="DateChar">
    <w:name w:val="Date Char"/>
    <w:basedOn w:val="DefaultParagraphFont"/>
    <w:link w:val="Date"/>
    <w:uiPriority w:val="99"/>
    <w:semiHidden/>
    <w:rsid w:val="005440A8"/>
    <w:rPr>
      <w:rFonts w:ascii="Arial" w:eastAsia="Times New Roman" w:hAnsi="Arial" w:cs="Times New Roman"/>
      <w:sz w:val="20"/>
      <w:szCs w:val="20"/>
      <w:lang w:val="en-GB" w:eastAsia="en-US" w:bidi="ar-SA"/>
    </w:rPr>
  </w:style>
  <w:style w:type="paragraph" w:styleId="Revision">
    <w:name w:val="Revision"/>
    <w:hidden/>
    <w:uiPriority w:val="99"/>
    <w:semiHidden/>
    <w:rsid w:val="009E253A"/>
    <w:pPr>
      <w:spacing w:after="0" w:line="240" w:lineRule="auto"/>
    </w:pPr>
    <w:rPr>
      <w:rFonts w:ascii="Arial" w:eastAsia="Times New Roman" w:hAnsi="Arial" w:cs="Times New Roman"/>
      <w:sz w:val="20"/>
      <w:szCs w:val="20"/>
      <w:lang w:val="en-GB" w:eastAsia="en-US" w:bidi="ar-SA"/>
    </w:rPr>
  </w:style>
  <w:style w:type="character" w:styleId="CommentReference">
    <w:name w:val="annotation reference"/>
    <w:basedOn w:val="DefaultParagraphFont"/>
    <w:uiPriority w:val="99"/>
    <w:semiHidden/>
    <w:unhideWhenUsed/>
    <w:rsid w:val="00B23EE4"/>
    <w:rPr>
      <w:sz w:val="16"/>
      <w:szCs w:val="16"/>
    </w:rPr>
  </w:style>
  <w:style w:type="paragraph" w:styleId="CommentText">
    <w:name w:val="annotation text"/>
    <w:basedOn w:val="Normal"/>
    <w:link w:val="CommentTextChar"/>
    <w:uiPriority w:val="99"/>
    <w:unhideWhenUsed/>
    <w:rsid w:val="00B23EE4"/>
    <w:pPr>
      <w:spacing w:line="240" w:lineRule="auto"/>
    </w:pPr>
  </w:style>
  <w:style w:type="character" w:customStyle="1" w:styleId="CommentTextChar">
    <w:name w:val="Comment Text Char"/>
    <w:basedOn w:val="DefaultParagraphFont"/>
    <w:link w:val="CommentText"/>
    <w:uiPriority w:val="99"/>
    <w:rsid w:val="00B23EE4"/>
    <w:rPr>
      <w:rFonts w:ascii="Arial" w:eastAsia="Times New Roman" w:hAnsi="Arial" w:cs="Times New Roman"/>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23EE4"/>
    <w:rPr>
      <w:b/>
      <w:bCs/>
    </w:rPr>
  </w:style>
  <w:style w:type="character" w:customStyle="1" w:styleId="CommentSubjectChar">
    <w:name w:val="Comment Subject Char"/>
    <w:basedOn w:val="CommentTextChar"/>
    <w:link w:val="CommentSubject"/>
    <w:uiPriority w:val="99"/>
    <w:semiHidden/>
    <w:rsid w:val="00B23EE4"/>
    <w:rPr>
      <w:rFonts w:ascii="Arial" w:eastAsia="Times New Roman" w:hAnsi="Arial" w:cs="Times New Roman"/>
      <w:b/>
      <w:bCs/>
      <w:sz w:val="20"/>
      <w:szCs w:val="20"/>
      <w:lang w:val="en-GB" w:eastAsia="en-US" w:bidi="ar-SA"/>
    </w:rPr>
  </w:style>
  <w:style w:type="character" w:customStyle="1" w:styleId="Heading3Char">
    <w:name w:val="Heading 3 Char"/>
    <w:basedOn w:val="DefaultParagraphFont"/>
    <w:link w:val="Heading3"/>
    <w:uiPriority w:val="9"/>
    <w:rsid w:val="00B42C59"/>
    <w:rPr>
      <w:rFonts w:ascii="Arial" w:eastAsia="Arial" w:hAnsi="Arial" w:cs="Arial"/>
      <w:b/>
      <w:bCs/>
      <w:sz w:val="24"/>
      <w:szCs w:val="24"/>
      <w:lang w:val="en-GB" w:eastAsia="en-US" w:bidi="ar-SA"/>
    </w:rPr>
  </w:style>
  <w:style w:type="paragraph" w:styleId="BodyText">
    <w:name w:val="Body Text"/>
    <w:basedOn w:val="Normal"/>
    <w:link w:val="BodyTextChar"/>
    <w:uiPriority w:val="1"/>
    <w:qFormat/>
    <w:rsid w:val="00B42C59"/>
    <w:pPr>
      <w:widowControl w:val="0"/>
      <w:autoSpaceDE w:val="0"/>
      <w:autoSpaceDN w:val="0"/>
      <w:spacing w:after="0" w:line="240" w:lineRule="auto"/>
      <w:jc w:val="left"/>
    </w:pPr>
    <w:rPr>
      <w:rFonts w:eastAsia="Arial" w:cs="Arial"/>
    </w:rPr>
  </w:style>
  <w:style w:type="character" w:customStyle="1" w:styleId="BodyTextChar">
    <w:name w:val="Body Text Char"/>
    <w:basedOn w:val="DefaultParagraphFont"/>
    <w:link w:val="BodyText"/>
    <w:uiPriority w:val="1"/>
    <w:rsid w:val="00B42C59"/>
    <w:rPr>
      <w:rFonts w:ascii="Arial" w:eastAsia="Arial" w:hAnsi="Arial" w:cs="Arial"/>
      <w:sz w:val="20"/>
      <w:szCs w:val="20"/>
      <w:lang w:val="en-GB" w:eastAsia="en-US" w:bidi="ar-SA"/>
    </w:rPr>
  </w:style>
  <w:style w:type="character" w:customStyle="1" w:styleId="scxw140845011">
    <w:name w:val="scxw140845011"/>
    <w:basedOn w:val="DefaultParagraphFont"/>
    <w:rsid w:val="000874FE"/>
  </w:style>
  <w:style w:type="paragraph" w:styleId="NoSpacing">
    <w:name w:val="No Spacing"/>
    <w:uiPriority w:val="1"/>
    <w:qFormat/>
    <w:rsid w:val="00540A50"/>
    <w:pPr>
      <w:spacing w:after="0" w:line="240" w:lineRule="auto"/>
    </w:pPr>
    <w:rPr>
      <w:kern w:val="2"/>
      <w14:ligatures w14:val="standardContextual"/>
    </w:rPr>
  </w:style>
  <w:style w:type="character" w:styleId="Hyperlink">
    <w:name w:val="Hyperlink"/>
    <w:basedOn w:val="DefaultParagraphFont"/>
    <w:uiPriority w:val="99"/>
    <w:unhideWhenUsed/>
    <w:rsid w:val="00540A50"/>
    <w:rPr>
      <w:color w:val="0563C1" w:themeColor="hyperlink"/>
      <w:u w:val="single"/>
    </w:rPr>
  </w:style>
  <w:style w:type="character" w:styleId="UnresolvedMention">
    <w:name w:val="Unresolved Mention"/>
    <w:basedOn w:val="DefaultParagraphFont"/>
    <w:uiPriority w:val="99"/>
    <w:semiHidden/>
    <w:unhideWhenUsed/>
    <w:rsid w:val="00540A50"/>
    <w:rPr>
      <w:color w:val="605E5C"/>
      <w:shd w:val="clear" w:color="auto" w:fill="E1DFDD"/>
    </w:rPr>
  </w:style>
  <w:style w:type="paragraph" w:customStyle="1" w:styleId="vxtext">
    <w:name w:val="vx_text"/>
    <w:basedOn w:val="Normal"/>
    <w:rsid w:val="00074C81"/>
    <w:pPr>
      <w:spacing w:before="100" w:beforeAutospacing="1" w:after="100" w:afterAutospacing="1" w:line="240" w:lineRule="auto"/>
      <w:jc w:val="left"/>
    </w:pPr>
    <w:rPr>
      <w:rFonts w:ascii="Times New Roman" w:hAnsi="Times New Roman"/>
      <w:sz w:val="24"/>
      <w:szCs w:val="24"/>
      <w:lang w:val="en-US" w:eastAsia="zh-CN" w:bidi="th-TH"/>
    </w:rPr>
  </w:style>
  <w:style w:type="table" w:customStyle="1" w:styleId="Savillsbanded1">
    <w:name w:val="Savills banded1"/>
    <w:basedOn w:val="TableNormal"/>
    <w:uiPriority w:val="99"/>
    <w:qFormat/>
    <w:rsid w:val="006F280C"/>
    <w:pPr>
      <w:spacing w:before="40" w:after="40" w:line="240" w:lineRule="auto"/>
    </w:pPr>
    <w:rPr>
      <w:rFonts w:ascii="Arial" w:eastAsia="Times New Roman" w:hAnsi="Arial" w:cs="Times New Roman"/>
      <w:sz w:val="16"/>
      <w:szCs w:val="20"/>
      <w:lang w:val="en-AU" w:eastAsia="en-AU" w:bidi="ar-SA"/>
    </w:rPr>
    <w:tblPr>
      <w:tblStyleRowBandSize w:val="1"/>
      <w:jc w:val="center"/>
      <w:tblBorders>
        <w:bottom w:val="single" w:sz="4" w:space="0" w:color="auto"/>
      </w:tblBorders>
    </w:tblPr>
    <w:trPr>
      <w:jc w:val="center"/>
    </w:trPr>
    <w:tblStylePr w:type="firstRow">
      <w:pPr>
        <w:wordWrap/>
        <w:jc w:val="center"/>
      </w:pPr>
      <w:rPr>
        <w:rFonts w:ascii="Arial" w:hAnsi="Arial"/>
        <w:b/>
      </w:rPr>
      <w:tblPr/>
      <w:tcPr>
        <w:tcBorders>
          <w:top w:val="single" w:sz="4" w:space="0" w:color="auto"/>
          <w:bottom w:val="single" w:sz="4" w:space="0" w:color="auto"/>
        </w:tcBorders>
        <w:shd w:val="clear" w:color="auto" w:fill="FFFFFF"/>
      </w:tcPr>
    </w:tblStylePr>
    <w:tblStylePr w:type="lastRow">
      <w:tblPr/>
      <w:tcPr>
        <w:tcBorders>
          <w:bottom w:val="single" w:sz="4" w:space="0" w:color="auto"/>
        </w:tcBorders>
        <w:shd w:val="clear" w:color="auto" w:fill="FFFFFF"/>
      </w:tcPr>
    </w:tblStylePr>
    <w:tblStylePr w:type="firstCol">
      <w:tblPr/>
      <w:tcPr>
        <w:tcBorders>
          <w:bottom w:val="single" w:sz="4" w:space="0" w:color="auto"/>
        </w:tcBorders>
      </w:tcPr>
    </w:tblStylePr>
    <w:tblStylePr w:type="lastCol">
      <w:tblPr/>
      <w:tcPr>
        <w:tcBorders>
          <w:bottom w:val="single" w:sz="4" w:space="0" w:color="auto"/>
        </w:tcBorders>
      </w:tcPr>
    </w:tblStylePr>
    <w:tblStylePr w:type="band1Horz">
      <w:tblPr/>
      <w:tcPr>
        <w:shd w:val="clear" w:color="auto" w:fill="D6E3EC"/>
      </w:tcPr>
    </w:tblStylePr>
    <w:tblStylePr w:type="band2Horz">
      <w:tblPr/>
      <w:tcPr>
        <w:shd w:val="clear" w:color="auto" w:fill="FFFFFF"/>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character" w:customStyle="1" w:styleId="Heading2Char">
    <w:name w:val="Heading 2 Char"/>
    <w:basedOn w:val="DefaultParagraphFont"/>
    <w:link w:val="Heading2"/>
    <w:uiPriority w:val="9"/>
    <w:semiHidden/>
    <w:rsid w:val="00B424AA"/>
    <w:rPr>
      <w:rFonts w:asciiTheme="majorHAnsi" w:eastAsiaTheme="majorEastAsia" w:hAnsiTheme="majorHAnsi" w:cstheme="majorBidi"/>
      <w:color w:val="2F5496" w:themeColor="accent1" w:themeShade="BF"/>
      <w:sz w:val="26"/>
      <w:szCs w:val="26"/>
      <w:lang w:val="en-GB" w:eastAsia="en-US" w:bidi="ar-SA"/>
    </w:rPr>
  </w:style>
  <w:style w:type="table" w:styleId="TableGrid">
    <w:name w:val="Table Grid"/>
    <w:basedOn w:val="TableNormal"/>
    <w:uiPriority w:val="39"/>
    <w:rsid w:val="0095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06865">
      <w:bodyDiv w:val="1"/>
      <w:marLeft w:val="0"/>
      <w:marRight w:val="0"/>
      <w:marTop w:val="0"/>
      <w:marBottom w:val="0"/>
      <w:divBdr>
        <w:top w:val="none" w:sz="0" w:space="0" w:color="auto"/>
        <w:left w:val="none" w:sz="0" w:space="0" w:color="auto"/>
        <w:bottom w:val="none" w:sz="0" w:space="0" w:color="auto"/>
        <w:right w:val="none" w:sz="0" w:space="0" w:color="auto"/>
      </w:divBdr>
    </w:div>
    <w:div w:id="239558835">
      <w:bodyDiv w:val="1"/>
      <w:marLeft w:val="0"/>
      <w:marRight w:val="0"/>
      <w:marTop w:val="0"/>
      <w:marBottom w:val="0"/>
      <w:divBdr>
        <w:top w:val="none" w:sz="0" w:space="0" w:color="auto"/>
        <w:left w:val="none" w:sz="0" w:space="0" w:color="auto"/>
        <w:bottom w:val="none" w:sz="0" w:space="0" w:color="auto"/>
        <w:right w:val="none" w:sz="0" w:space="0" w:color="auto"/>
      </w:divBdr>
      <w:divsChild>
        <w:div w:id="1686594894">
          <w:marLeft w:val="0"/>
          <w:marRight w:val="0"/>
          <w:marTop w:val="0"/>
          <w:marBottom w:val="0"/>
          <w:divBdr>
            <w:top w:val="none" w:sz="0" w:space="0" w:color="auto"/>
            <w:left w:val="none" w:sz="0" w:space="0" w:color="auto"/>
            <w:bottom w:val="none" w:sz="0" w:space="0" w:color="auto"/>
            <w:right w:val="none" w:sz="0" w:space="0" w:color="auto"/>
          </w:divBdr>
        </w:div>
        <w:div w:id="2097630436">
          <w:marLeft w:val="0"/>
          <w:marRight w:val="0"/>
          <w:marTop w:val="0"/>
          <w:marBottom w:val="0"/>
          <w:divBdr>
            <w:top w:val="none" w:sz="0" w:space="0" w:color="auto"/>
            <w:left w:val="none" w:sz="0" w:space="0" w:color="auto"/>
            <w:bottom w:val="none" w:sz="0" w:space="0" w:color="auto"/>
            <w:right w:val="none" w:sz="0" w:space="0" w:color="auto"/>
          </w:divBdr>
        </w:div>
        <w:div w:id="2019695779">
          <w:marLeft w:val="0"/>
          <w:marRight w:val="0"/>
          <w:marTop w:val="0"/>
          <w:marBottom w:val="0"/>
          <w:divBdr>
            <w:top w:val="none" w:sz="0" w:space="0" w:color="auto"/>
            <w:left w:val="none" w:sz="0" w:space="0" w:color="auto"/>
            <w:bottom w:val="none" w:sz="0" w:space="0" w:color="auto"/>
            <w:right w:val="none" w:sz="0" w:space="0" w:color="auto"/>
          </w:divBdr>
        </w:div>
        <w:div w:id="905843240">
          <w:marLeft w:val="0"/>
          <w:marRight w:val="0"/>
          <w:marTop w:val="0"/>
          <w:marBottom w:val="0"/>
          <w:divBdr>
            <w:top w:val="none" w:sz="0" w:space="0" w:color="auto"/>
            <w:left w:val="none" w:sz="0" w:space="0" w:color="auto"/>
            <w:bottom w:val="none" w:sz="0" w:space="0" w:color="auto"/>
            <w:right w:val="none" w:sz="0" w:space="0" w:color="auto"/>
          </w:divBdr>
        </w:div>
        <w:div w:id="610360382">
          <w:marLeft w:val="0"/>
          <w:marRight w:val="0"/>
          <w:marTop w:val="0"/>
          <w:marBottom w:val="0"/>
          <w:divBdr>
            <w:top w:val="none" w:sz="0" w:space="0" w:color="auto"/>
            <w:left w:val="none" w:sz="0" w:space="0" w:color="auto"/>
            <w:bottom w:val="none" w:sz="0" w:space="0" w:color="auto"/>
            <w:right w:val="none" w:sz="0" w:space="0" w:color="auto"/>
          </w:divBdr>
        </w:div>
        <w:div w:id="1781804470">
          <w:marLeft w:val="0"/>
          <w:marRight w:val="0"/>
          <w:marTop w:val="0"/>
          <w:marBottom w:val="0"/>
          <w:divBdr>
            <w:top w:val="none" w:sz="0" w:space="0" w:color="auto"/>
            <w:left w:val="none" w:sz="0" w:space="0" w:color="auto"/>
            <w:bottom w:val="none" w:sz="0" w:space="0" w:color="auto"/>
            <w:right w:val="none" w:sz="0" w:space="0" w:color="auto"/>
          </w:divBdr>
        </w:div>
        <w:div w:id="701395195">
          <w:marLeft w:val="0"/>
          <w:marRight w:val="0"/>
          <w:marTop w:val="0"/>
          <w:marBottom w:val="0"/>
          <w:divBdr>
            <w:top w:val="none" w:sz="0" w:space="0" w:color="auto"/>
            <w:left w:val="none" w:sz="0" w:space="0" w:color="auto"/>
            <w:bottom w:val="none" w:sz="0" w:space="0" w:color="auto"/>
            <w:right w:val="none" w:sz="0" w:space="0" w:color="auto"/>
          </w:divBdr>
        </w:div>
        <w:div w:id="1905215041">
          <w:marLeft w:val="0"/>
          <w:marRight w:val="0"/>
          <w:marTop w:val="0"/>
          <w:marBottom w:val="0"/>
          <w:divBdr>
            <w:top w:val="none" w:sz="0" w:space="0" w:color="auto"/>
            <w:left w:val="none" w:sz="0" w:space="0" w:color="auto"/>
            <w:bottom w:val="none" w:sz="0" w:space="0" w:color="auto"/>
            <w:right w:val="none" w:sz="0" w:space="0" w:color="auto"/>
          </w:divBdr>
        </w:div>
        <w:div w:id="1501696863">
          <w:marLeft w:val="0"/>
          <w:marRight w:val="0"/>
          <w:marTop w:val="0"/>
          <w:marBottom w:val="0"/>
          <w:divBdr>
            <w:top w:val="none" w:sz="0" w:space="0" w:color="auto"/>
            <w:left w:val="none" w:sz="0" w:space="0" w:color="auto"/>
            <w:bottom w:val="none" w:sz="0" w:space="0" w:color="auto"/>
            <w:right w:val="none" w:sz="0" w:space="0" w:color="auto"/>
          </w:divBdr>
        </w:div>
        <w:div w:id="797072157">
          <w:marLeft w:val="0"/>
          <w:marRight w:val="0"/>
          <w:marTop w:val="0"/>
          <w:marBottom w:val="0"/>
          <w:divBdr>
            <w:top w:val="none" w:sz="0" w:space="0" w:color="auto"/>
            <w:left w:val="none" w:sz="0" w:space="0" w:color="auto"/>
            <w:bottom w:val="none" w:sz="0" w:space="0" w:color="auto"/>
            <w:right w:val="none" w:sz="0" w:space="0" w:color="auto"/>
          </w:divBdr>
        </w:div>
        <w:div w:id="112020278">
          <w:marLeft w:val="0"/>
          <w:marRight w:val="0"/>
          <w:marTop w:val="0"/>
          <w:marBottom w:val="0"/>
          <w:divBdr>
            <w:top w:val="none" w:sz="0" w:space="0" w:color="auto"/>
            <w:left w:val="none" w:sz="0" w:space="0" w:color="auto"/>
            <w:bottom w:val="none" w:sz="0" w:space="0" w:color="auto"/>
            <w:right w:val="none" w:sz="0" w:space="0" w:color="auto"/>
          </w:divBdr>
        </w:div>
        <w:div w:id="1930698848">
          <w:marLeft w:val="0"/>
          <w:marRight w:val="0"/>
          <w:marTop w:val="0"/>
          <w:marBottom w:val="0"/>
          <w:divBdr>
            <w:top w:val="none" w:sz="0" w:space="0" w:color="auto"/>
            <w:left w:val="none" w:sz="0" w:space="0" w:color="auto"/>
            <w:bottom w:val="none" w:sz="0" w:space="0" w:color="auto"/>
            <w:right w:val="none" w:sz="0" w:space="0" w:color="auto"/>
          </w:divBdr>
        </w:div>
        <w:div w:id="464395708">
          <w:marLeft w:val="0"/>
          <w:marRight w:val="0"/>
          <w:marTop w:val="0"/>
          <w:marBottom w:val="0"/>
          <w:divBdr>
            <w:top w:val="none" w:sz="0" w:space="0" w:color="auto"/>
            <w:left w:val="none" w:sz="0" w:space="0" w:color="auto"/>
            <w:bottom w:val="none" w:sz="0" w:space="0" w:color="auto"/>
            <w:right w:val="none" w:sz="0" w:space="0" w:color="auto"/>
          </w:divBdr>
        </w:div>
        <w:div w:id="1090078600">
          <w:marLeft w:val="0"/>
          <w:marRight w:val="0"/>
          <w:marTop w:val="0"/>
          <w:marBottom w:val="0"/>
          <w:divBdr>
            <w:top w:val="none" w:sz="0" w:space="0" w:color="auto"/>
            <w:left w:val="none" w:sz="0" w:space="0" w:color="auto"/>
            <w:bottom w:val="none" w:sz="0" w:space="0" w:color="auto"/>
            <w:right w:val="none" w:sz="0" w:space="0" w:color="auto"/>
          </w:divBdr>
        </w:div>
        <w:div w:id="954025286">
          <w:marLeft w:val="0"/>
          <w:marRight w:val="0"/>
          <w:marTop w:val="0"/>
          <w:marBottom w:val="0"/>
          <w:divBdr>
            <w:top w:val="none" w:sz="0" w:space="0" w:color="auto"/>
            <w:left w:val="none" w:sz="0" w:space="0" w:color="auto"/>
            <w:bottom w:val="none" w:sz="0" w:space="0" w:color="auto"/>
            <w:right w:val="none" w:sz="0" w:space="0" w:color="auto"/>
          </w:divBdr>
        </w:div>
        <w:div w:id="756826788">
          <w:marLeft w:val="0"/>
          <w:marRight w:val="0"/>
          <w:marTop w:val="0"/>
          <w:marBottom w:val="0"/>
          <w:divBdr>
            <w:top w:val="none" w:sz="0" w:space="0" w:color="auto"/>
            <w:left w:val="none" w:sz="0" w:space="0" w:color="auto"/>
            <w:bottom w:val="none" w:sz="0" w:space="0" w:color="auto"/>
            <w:right w:val="none" w:sz="0" w:space="0" w:color="auto"/>
          </w:divBdr>
        </w:div>
        <w:div w:id="768309332">
          <w:marLeft w:val="0"/>
          <w:marRight w:val="0"/>
          <w:marTop w:val="0"/>
          <w:marBottom w:val="0"/>
          <w:divBdr>
            <w:top w:val="none" w:sz="0" w:space="0" w:color="auto"/>
            <w:left w:val="none" w:sz="0" w:space="0" w:color="auto"/>
            <w:bottom w:val="none" w:sz="0" w:space="0" w:color="auto"/>
            <w:right w:val="none" w:sz="0" w:space="0" w:color="auto"/>
          </w:divBdr>
        </w:div>
        <w:div w:id="1712538455">
          <w:marLeft w:val="0"/>
          <w:marRight w:val="0"/>
          <w:marTop w:val="0"/>
          <w:marBottom w:val="0"/>
          <w:divBdr>
            <w:top w:val="none" w:sz="0" w:space="0" w:color="auto"/>
            <w:left w:val="none" w:sz="0" w:space="0" w:color="auto"/>
            <w:bottom w:val="none" w:sz="0" w:space="0" w:color="auto"/>
            <w:right w:val="none" w:sz="0" w:space="0" w:color="auto"/>
          </w:divBdr>
        </w:div>
        <w:div w:id="2143764474">
          <w:marLeft w:val="0"/>
          <w:marRight w:val="0"/>
          <w:marTop w:val="0"/>
          <w:marBottom w:val="0"/>
          <w:divBdr>
            <w:top w:val="none" w:sz="0" w:space="0" w:color="auto"/>
            <w:left w:val="none" w:sz="0" w:space="0" w:color="auto"/>
            <w:bottom w:val="none" w:sz="0" w:space="0" w:color="auto"/>
            <w:right w:val="none" w:sz="0" w:space="0" w:color="auto"/>
          </w:divBdr>
        </w:div>
        <w:div w:id="83452778">
          <w:marLeft w:val="0"/>
          <w:marRight w:val="0"/>
          <w:marTop w:val="0"/>
          <w:marBottom w:val="0"/>
          <w:divBdr>
            <w:top w:val="none" w:sz="0" w:space="0" w:color="auto"/>
            <w:left w:val="none" w:sz="0" w:space="0" w:color="auto"/>
            <w:bottom w:val="none" w:sz="0" w:space="0" w:color="auto"/>
            <w:right w:val="none" w:sz="0" w:space="0" w:color="auto"/>
          </w:divBdr>
        </w:div>
        <w:div w:id="55469420">
          <w:marLeft w:val="0"/>
          <w:marRight w:val="0"/>
          <w:marTop w:val="0"/>
          <w:marBottom w:val="0"/>
          <w:divBdr>
            <w:top w:val="none" w:sz="0" w:space="0" w:color="auto"/>
            <w:left w:val="none" w:sz="0" w:space="0" w:color="auto"/>
            <w:bottom w:val="none" w:sz="0" w:space="0" w:color="auto"/>
            <w:right w:val="none" w:sz="0" w:space="0" w:color="auto"/>
          </w:divBdr>
        </w:div>
        <w:div w:id="2128811162">
          <w:marLeft w:val="0"/>
          <w:marRight w:val="0"/>
          <w:marTop w:val="0"/>
          <w:marBottom w:val="0"/>
          <w:divBdr>
            <w:top w:val="none" w:sz="0" w:space="0" w:color="auto"/>
            <w:left w:val="none" w:sz="0" w:space="0" w:color="auto"/>
            <w:bottom w:val="none" w:sz="0" w:space="0" w:color="auto"/>
            <w:right w:val="none" w:sz="0" w:space="0" w:color="auto"/>
          </w:divBdr>
        </w:div>
        <w:div w:id="1425148907">
          <w:marLeft w:val="0"/>
          <w:marRight w:val="0"/>
          <w:marTop w:val="0"/>
          <w:marBottom w:val="0"/>
          <w:divBdr>
            <w:top w:val="none" w:sz="0" w:space="0" w:color="auto"/>
            <w:left w:val="none" w:sz="0" w:space="0" w:color="auto"/>
            <w:bottom w:val="none" w:sz="0" w:space="0" w:color="auto"/>
            <w:right w:val="none" w:sz="0" w:space="0" w:color="auto"/>
          </w:divBdr>
        </w:div>
        <w:div w:id="1110053808">
          <w:marLeft w:val="0"/>
          <w:marRight w:val="0"/>
          <w:marTop w:val="0"/>
          <w:marBottom w:val="0"/>
          <w:divBdr>
            <w:top w:val="none" w:sz="0" w:space="0" w:color="auto"/>
            <w:left w:val="none" w:sz="0" w:space="0" w:color="auto"/>
            <w:bottom w:val="none" w:sz="0" w:space="0" w:color="auto"/>
            <w:right w:val="none" w:sz="0" w:space="0" w:color="auto"/>
          </w:divBdr>
        </w:div>
        <w:div w:id="1347252024">
          <w:marLeft w:val="0"/>
          <w:marRight w:val="0"/>
          <w:marTop w:val="0"/>
          <w:marBottom w:val="0"/>
          <w:divBdr>
            <w:top w:val="none" w:sz="0" w:space="0" w:color="auto"/>
            <w:left w:val="none" w:sz="0" w:space="0" w:color="auto"/>
            <w:bottom w:val="none" w:sz="0" w:space="0" w:color="auto"/>
            <w:right w:val="none" w:sz="0" w:space="0" w:color="auto"/>
          </w:divBdr>
        </w:div>
        <w:div w:id="1737126859">
          <w:marLeft w:val="0"/>
          <w:marRight w:val="0"/>
          <w:marTop w:val="0"/>
          <w:marBottom w:val="0"/>
          <w:divBdr>
            <w:top w:val="none" w:sz="0" w:space="0" w:color="auto"/>
            <w:left w:val="none" w:sz="0" w:space="0" w:color="auto"/>
            <w:bottom w:val="none" w:sz="0" w:space="0" w:color="auto"/>
            <w:right w:val="none" w:sz="0" w:space="0" w:color="auto"/>
          </w:divBdr>
        </w:div>
        <w:div w:id="1265726392">
          <w:marLeft w:val="0"/>
          <w:marRight w:val="0"/>
          <w:marTop w:val="0"/>
          <w:marBottom w:val="0"/>
          <w:divBdr>
            <w:top w:val="none" w:sz="0" w:space="0" w:color="auto"/>
            <w:left w:val="none" w:sz="0" w:space="0" w:color="auto"/>
            <w:bottom w:val="none" w:sz="0" w:space="0" w:color="auto"/>
            <w:right w:val="none" w:sz="0" w:space="0" w:color="auto"/>
          </w:divBdr>
        </w:div>
        <w:div w:id="197359691">
          <w:marLeft w:val="0"/>
          <w:marRight w:val="0"/>
          <w:marTop w:val="0"/>
          <w:marBottom w:val="0"/>
          <w:divBdr>
            <w:top w:val="none" w:sz="0" w:space="0" w:color="auto"/>
            <w:left w:val="none" w:sz="0" w:space="0" w:color="auto"/>
            <w:bottom w:val="none" w:sz="0" w:space="0" w:color="auto"/>
            <w:right w:val="none" w:sz="0" w:space="0" w:color="auto"/>
          </w:divBdr>
        </w:div>
        <w:div w:id="109207411">
          <w:marLeft w:val="0"/>
          <w:marRight w:val="0"/>
          <w:marTop w:val="0"/>
          <w:marBottom w:val="0"/>
          <w:divBdr>
            <w:top w:val="none" w:sz="0" w:space="0" w:color="auto"/>
            <w:left w:val="none" w:sz="0" w:space="0" w:color="auto"/>
            <w:bottom w:val="none" w:sz="0" w:space="0" w:color="auto"/>
            <w:right w:val="none" w:sz="0" w:space="0" w:color="auto"/>
          </w:divBdr>
        </w:div>
        <w:div w:id="1832989559">
          <w:marLeft w:val="0"/>
          <w:marRight w:val="0"/>
          <w:marTop w:val="0"/>
          <w:marBottom w:val="0"/>
          <w:divBdr>
            <w:top w:val="none" w:sz="0" w:space="0" w:color="auto"/>
            <w:left w:val="none" w:sz="0" w:space="0" w:color="auto"/>
            <w:bottom w:val="none" w:sz="0" w:space="0" w:color="auto"/>
            <w:right w:val="none" w:sz="0" w:space="0" w:color="auto"/>
          </w:divBdr>
        </w:div>
        <w:div w:id="1868373178">
          <w:marLeft w:val="0"/>
          <w:marRight w:val="0"/>
          <w:marTop w:val="0"/>
          <w:marBottom w:val="0"/>
          <w:divBdr>
            <w:top w:val="none" w:sz="0" w:space="0" w:color="auto"/>
            <w:left w:val="none" w:sz="0" w:space="0" w:color="auto"/>
            <w:bottom w:val="none" w:sz="0" w:space="0" w:color="auto"/>
            <w:right w:val="none" w:sz="0" w:space="0" w:color="auto"/>
          </w:divBdr>
          <w:divsChild>
            <w:div w:id="1912931418">
              <w:marLeft w:val="0"/>
              <w:marRight w:val="0"/>
              <w:marTop w:val="30"/>
              <w:marBottom w:val="30"/>
              <w:divBdr>
                <w:top w:val="none" w:sz="0" w:space="0" w:color="auto"/>
                <w:left w:val="none" w:sz="0" w:space="0" w:color="auto"/>
                <w:bottom w:val="none" w:sz="0" w:space="0" w:color="auto"/>
                <w:right w:val="none" w:sz="0" w:space="0" w:color="auto"/>
              </w:divBdr>
              <w:divsChild>
                <w:div w:id="1889876327">
                  <w:marLeft w:val="0"/>
                  <w:marRight w:val="0"/>
                  <w:marTop w:val="0"/>
                  <w:marBottom w:val="0"/>
                  <w:divBdr>
                    <w:top w:val="none" w:sz="0" w:space="0" w:color="auto"/>
                    <w:left w:val="none" w:sz="0" w:space="0" w:color="auto"/>
                    <w:bottom w:val="none" w:sz="0" w:space="0" w:color="auto"/>
                    <w:right w:val="none" w:sz="0" w:space="0" w:color="auto"/>
                  </w:divBdr>
                  <w:divsChild>
                    <w:div w:id="1938557092">
                      <w:marLeft w:val="0"/>
                      <w:marRight w:val="0"/>
                      <w:marTop w:val="0"/>
                      <w:marBottom w:val="0"/>
                      <w:divBdr>
                        <w:top w:val="none" w:sz="0" w:space="0" w:color="auto"/>
                        <w:left w:val="none" w:sz="0" w:space="0" w:color="auto"/>
                        <w:bottom w:val="none" w:sz="0" w:space="0" w:color="auto"/>
                        <w:right w:val="none" w:sz="0" w:space="0" w:color="auto"/>
                      </w:divBdr>
                    </w:div>
                    <w:div w:id="345450661">
                      <w:marLeft w:val="0"/>
                      <w:marRight w:val="0"/>
                      <w:marTop w:val="0"/>
                      <w:marBottom w:val="0"/>
                      <w:divBdr>
                        <w:top w:val="none" w:sz="0" w:space="0" w:color="auto"/>
                        <w:left w:val="none" w:sz="0" w:space="0" w:color="auto"/>
                        <w:bottom w:val="none" w:sz="0" w:space="0" w:color="auto"/>
                        <w:right w:val="none" w:sz="0" w:space="0" w:color="auto"/>
                      </w:divBdr>
                    </w:div>
                    <w:div w:id="1398940205">
                      <w:marLeft w:val="0"/>
                      <w:marRight w:val="0"/>
                      <w:marTop w:val="0"/>
                      <w:marBottom w:val="0"/>
                      <w:divBdr>
                        <w:top w:val="none" w:sz="0" w:space="0" w:color="auto"/>
                        <w:left w:val="none" w:sz="0" w:space="0" w:color="auto"/>
                        <w:bottom w:val="none" w:sz="0" w:space="0" w:color="auto"/>
                        <w:right w:val="none" w:sz="0" w:space="0" w:color="auto"/>
                      </w:divBdr>
                    </w:div>
                    <w:div w:id="944842712">
                      <w:marLeft w:val="0"/>
                      <w:marRight w:val="0"/>
                      <w:marTop w:val="0"/>
                      <w:marBottom w:val="0"/>
                      <w:divBdr>
                        <w:top w:val="none" w:sz="0" w:space="0" w:color="auto"/>
                        <w:left w:val="none" w:sz="0" w:space="0" w:color="auto"/>
                        <w:bottom w:val="none" w:sz="0" w:space="0" w:color="auto"/>
                        <w:right w:val="none" w:sz="0" w:space="0" w:color="auto"/>
                      </w:divBdr>
                    </w:div>
                    <w:div w:id="807934574">
                      <w:marLeft w:val="0"/>
                      <w:marRight w:val="0"/>
                      <w:marTop w:val="0"/>
                      <w:marBottom w:val="0"/>
                      <w:divBdr>
                        <w:top w:val="none" w:sz="0" w:space="0" w:color="auto"/>
                        <w:left w:val="none" w:sz="0" w:space="0" w:color="auto"/>
                        <w:bottom w:val="none" w:sz="0" w:space="0" w:color="auto"/>
                        <w:right w:val="none" w:sz="0" w:space="0" w:color="auto"/>
                      </w:divBdr>
                    </w:div>
                  </w:divsChild>
                </w:div>
                <w:div w:id="873155856">
                  <w:marLeft w:val="0"/>
                  <w:marRight w:val="0"/>
                  <w:marTop w:val="0"/>
                  <w:marBottom w:val="0"/>
                  <w:divBdr>
                    <w:top w:val="none" w:sz="0" w:space="0" w:color="auto"/>
                    <w:left w:val="none" w:sz="0" w:space="0" w:color="auto"/>
                    <w:bottom w:val="none" w:sz="0" w:space="0" w:color="auto"/>
                    <w:right w:val="none" w:sz="0" w:space="0" w:color="auto"/>
                  </w:divBdr>
                  <w:divsChild>
                    <w:div w:id="1073619680">
                      <w:marLeft w:val="0"/>
                      <w:marRight w:val="0"/>
                      <w:marTop w:val="0"/>
                      <w:marBottom w:val="0"/>
                      <w:divBdr>
                        <w:top w:val="none" w:sz="0" w:space="0" w:color="auto"/>
                        <w:left w:val="none" w:sz="0" w:space="0" w:color="auto"/>
                        <w:bottom w:val="none" w:sz="0" w:space="0" w:color="auto"/>
                        <w:right w:val="none" w:sz="0" w:space="0" w:color="auto"/>
                      </w:divBdr>
                    </w:div>
                    <w:div w:id="46610495">
                      <w:marLeft w:val="0"/>
                      <w:marRight w:val="0"/>
                      <w:marTop w:val="0"/>
                      <w:marBottom w:val="0"/>
                      <w:divBdr>
                        <w:top w:val="none" w:sz="0" w:space="0" w:color="auto"/>
                        <w:left w:val="none" w:sz="0" w:space="0" w:color="auto"/>
                        <w:bottom w:val="none" w:sz="0" w:space="0" w:color="auto"/>
                        <w:right w:val="none" w:sz="0" w:space="0" w:color="auto"/>
                      </w:divBdr>
                    </w:div>
                    <w:div w:id="1793749710">
                      <w:marLeft w:val="0"/>
                      <w:marRight w:val="0"/>
                      <w:marTop w:val="0"/>
                      <w:marBottom w:val="0"/>
                      <w:divBdr>
                        <w:top w:val="none" w:sz="0" w:space="0" w:color="auto"/>
                        <w:left w:val="none" w:sz="0" w:space="0" w:color="auto"/>
                        <w:bottom w:val="none" w:sz="0" w:space="0" w:color="auto"/>
                        <w:right w:val="none" w:sz="0" w:space="0" w:color="auto"/>
                      </w:divBdr>
                    </w:div>
                    <w:div w:id="1664311518">
                      <w:marLeft w:val="0"/>
                      <w:marRight w:val="0"/>
                      <w:marTop w:val="0"/>
                      <w:marBottom w:val="0"/>
                      <w:divBdr>
                        <w:top w:val="none" w:sz="0" w:space="0" w:color="auto"/>
                        <w:left w:val="none" w:sz="0" w:space="0" w:color="auto"/>
                        <w:bottom w:val="none" w:sz="0" w:space="0" w:color="auto"/>
                        <w:right w:val="none" w:sz="0" w:space="0" w:color="auto"/>
                      </w:divBdr>
                    </w:div>
                    <w:div w:id="1220359573">
                      <w:marLeft w:val="0"/>
                      <w:marRight w:val="0"/>
                      <w:marTop w:val="0"/>
                      <w:marBottom w:val="0"/>
                      <w:divBdr>
                        <w:top w:val="none" w:sz="0" w:space="0" w:color="auto"/>
                        <w:left w:val="none" w:sz="0" w:space="0" w:color="auto"/>
                        <w:bottom w:val="none" w:sz="0" w:space="0" w:color="auto"/>
                        <w:right w:val="none" w:sz="0" w:space="0" w:color="auto"/>
                      </w:divBdr>
                    </w:div>
                  </w:divsChild>
                </w:div>
                <w:div w:id="1449660179">
                  <w:marLeft w:val="0"/>
                  <w:marRight w:val="0"/>
                  <w:marTop w:val="0"/>
                  <w:marBottom w:val="0"/>
                  <w:divBdr>
                    <w:top w:val="none" w:sz="0" w:space="0" w:color="auto"/>
                    <w:left w:val="none" w:sz="0" w:space="0" w:color="auto"/>
                    <w:bottom w:val="none" w:sz="0" w:space="0" w:color="auto"/>
                    <w:right w:val="none" w:sz="0" w:space="0" w:color="auto"/>
                  </w:divBdr>
                  <w:divsChild>
                    <w:div w:id="1725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47869">
      <w:bodyDiv w:val="1"/>
      <w:marLeft w:val="0"/>
      <w:marRight w:val="0"/>
      <w:marTop w:val="0"/>
      <w:marBottom w:val="0"/>
      <w:divBdr>
        <w:top w:val="none" w:sz="0" w:space="0" w:color="auto"/>
        <w:left w:val="none" w:sz="0" w:space="0" w:color="auto"/>
        <w:bottom w:val="none" w:sz="0" w:space="0" w:color="auto"/>
        <w:right w:val="none" w:sz="0" w:space="0" w:color="auto"/>
      </w:divBdr>
    </w:div>
    <w:div w:id="339090248">
      <w:bodyDiv w:val="1"/>
      <w:marLeft w:val="0"/>
      <w:marRight w:val="0"/>
      <w:marTop w:val="0"/>
      <w:marBottom w:val="0"/>
      <w:divBdr>
        <w:top w:val="none" w:sz="0" w:space="0" w:color="auto"/>
        <w:left w:val="none" w:sz="0" w:space="0" w:color="auto"/>
        <w:bottom w:val="none" w:sz="0" w:space="0" w:color="auto"/>
        <w:right w:val="none" w:sz="0" w:space="0" w:color="auto"/>
      </w:divBdr>
    </w:div>
    <w:div w:id="699551831">
      <w:bodyDiv w:val="1"/>
      <w:marLeft w:val="0"/>
      <w:marRight w:val="0"/>
      <w:marTop w:val="0"/>
      <w:marBottom w:val="0"/>
      <w:divBdr>
        <w:top w:val="none" w:sz="0" w:space="0" w:color="auto"/>
        <w:left w:val="none" w:sz="0" w:space="0" w:color="auto"/>
        <w:bottom w:val="none" w:sz="0" w:space="0" w:color="auto"/>
        <w:right w:val="none" w:sz="0" w:space="0" w:color="auto"/>
      </w:divBdr>
    </w:div>
    <w:div w:id="726875753">
      <w:bodyDiv w:val="1"/>
      <w:marLeft w:val="0"/>
      <w:marRight w:val="0"/>
      <w:marTop w:val="0"/>
      <w:marBottom w:val="0"/>
      <w:divBdr>
        <w:top w:val="none" w:sz="0" w:space="0" w:color="auto"/>
        <w:left w:val="none" w:sz="0" w:space="0" w:color="auto"/>
        <w:bottom w:val="none" w:sz="0" w:space="0" w:color="auto"/>
        <w:right w:val="none" w:sz="0" w:space="0" w:color="auto"/>
      </w:divBdr>
      <w:divsChild>
        <w:div w:id="1598755898">
          <w:marLeft w:val="0"/>
          <w:marRight w:val="0"/>
          <w:marTop w:val="0"/>
          <w:marBottom w:val="0"/>
          <w:divBdr>
            <w:top w:val="none" w:sz="0" w:space="0" w:color="auto"/>
            <w:left w:val="none" w:sz="0" w:space="0" w:color="auto"/>
            <w:bottom w:val="none" w:sz="0" w:space="0" w:color="auto"/>
            <w:right w:val="none" w:sz="0" w:space="0" w:color="auto"/>
          </w:divBdr>
        </w:div>
        <w:div w:id="103035935">
          <w:marLeft w:val="0"/>
          <w:marRight w:val="0"/>
          <w:marTop w:val="0"/>
          <w:marBottom w:val="0"/>
          <w:divBdr>
            <w:top w:val="none" w:sz="0" w:space="0" w:color="auto"/>
            <w:left w:val="none" w:sz="0" w:space="0" w:color="auto"/>
            <w:bottom w:val="none" w:sz="0" w:space="0" w:color="auto"/>
            <w:right w:val="none" w:sz="0" w:space="0" w:color="auto"/>
          </w:divBdr>
        </w:div>
        <w:div w:id="375130952">
          <w:marLeft w:val="0"/>
          <w:marRight w:val="0"/>
          <w:marTop w:val="0"/>
          <w:marBottom w:val="0"/>
          <w:divBdr>
            <w:top w:val="none" w:sz="0" w:space="0" w:color="auto"/>
            <w:left w:val="none" w:sz="0" w:space="0" w:color="auto"/>
            <w:bottom w:val="none" w:sz="0" w:space="0" w:color="auto"/>
            <w:right w:val="none" w:sz="0" w:space="0" w:color="auto"/>
          </w:divBdr>
        </w:div>
        <w:div w:id="1138762705">
          <w:marLeft w:val="0"/>
          <w:marRight w:val="0"/>
          <w:marTop w:val="0"/>
          <w:marBottom w:val="0"/>
          <w:divBdr>
            <w:top w:val="none" w:sz="0" w:space="0" w:color="auto"/>
            <w:left w:val="none" w:sz="0" w:space="0" w:color="auto"/>
            <w:bottom w:val="none" w:sz="0" w:space="0" w:color="auto"/>
            <w:right w:val="none" w:sz="0" w:space="0" w:color="auto"/>
          </w:divBdr>
        </w:div>
        <w:div w:id="663969932">
          <w:marLeft w:val="0"/>
          <w:marRight w:val="0"/>
          <w:marTop w:val="0"/>
          <w:marBottom w:val="0"/>
          <w:divBdr>
            <w:top w:val="none" w:sz="0" w:space="0" w:color="auto"/>
            <w:left w:val="none" w:sz="0" w:space="0" w:color="auto"/>
            <w:bottom w:val="none" w:sz="0" w:space="0" w:color="auto"/>
            <w:right w:val="none" w:sz="0" w:space="0" w:color="auto"/>
          </w:divBdr>
        </w:div>
        <w:div w:id="305086580">
          <w:marLeft w:val="0"/>
          <w:marRight w:val="0"/>
          <w:marTop w:val="0"/>
          <w:marBottom w:val="0"/>
          <w:divBdr>
            <w:top w:val="none" w:sz="0" w:space="0" w:color="auto"/>
            <w:left w:val="none" w:sz="0" w:space="0" w:color="auto"/>
            <w:bottom w:val="none" w:sz="0" w:space="0" w:color="auto"/>
            <w:right w:val="none" w:sz="0" w:space="0" w:color="auto"/>
          </w:divBdr>
        </w:div>
        <w:div w:id="1347757304">
          <w:marLeft w:val="0"/>
          <w:marRight w:val="0"/>
          <w:marTop w:val="0"/>
          <w:marBottom w:val="0"/>
          <w:divBdr>
            <w:top w:val="none" w:sz="0" w:space="0" w:color="auto"/>
            <w:left w:val="none" w:sz="0" w:space="0" w:color="auto"/>
            <w:bottom w:val="none" w:sz="0" w:space="0" w:color="auto"/>
            <w:right w:val="none" w:sz="0" w:space="0" w:color="auto"/>
          </w:divBdr>
        </w:div>
        <w:div w:id="1247572386">
          <w:marLeft w:val="0"/>
          <w:marRight w:val="0"/>
          <w:marTop w:val="0"/>
          <w:marBottom w:val="0"/>
          <w:divBdr>
            <w:top w:val="none" w:sz="0" w:space="0" w:color="auto"/>
            <w:left w:val="none" w:sz="0" w:space="0" w:color="auto"/>
            <w:bottom w:val="none" w:sz="0" w:space="0" w:color="auto"/>
            <w:right w:val="none" w:sz="0" w:space="0" w:color="auto"/>
          </w:divBdr>
        </w:div>
        <w:div w:id="2142648154">
          <w:marLeft w:val="0"/>
          <w:marRight w:val="0"/>
          <w:marTop w:val="0"/>
          <w:marBottom w:val="0"/>
          <w:divBdr>
            <w:top w:val="none" w:sz="0" w:space="0" w:color="auto"/>
            <w:left w:val="none" w:sz="0" w:space="0" w:color="auto"/>
            <w:bottom w:val="none" w:sz="0" w:space="0" w:color="auto"/>
            <w:right w:val="none" w:sz="0" w:space="0" w:color="auto"/>
          </w:divBdr>
        </w:div>
        <w:div w:id="300231148">
          <w:marLeft w:val="0"/>
          <w:marRight w:val="0"/>
          <w:marTop w:val="0"/>
          <w:marBottom w:val="0"/>
          <w:divBdr>
            <w:top w:val="none" w:sz="0" w:space="0" w:color="auto"/>
            <w:left w:val="none" w:sz="0" w:space="0" w:color="auto"/>
            <w:bottom w:val="none" w:sz="0" w:space="0" w:color="auto"/>
            <w:right w:val="none" w:sz="0" w:space="0" w:color="auto"/>
          </w:divBdr>
        </w:div>
        <w:div w:id="1656716123">
          <w:marLeft w:val="0"/>
          <w:marRight w:val="0"/>
          <w:marTop w:val="0"/>
          <w:marBottom w:val="0"/>
          <w:divBdr>
            <w:top w:val="none" w:sz="0" w:space="0" w:color="auto"/>
            <w:left w:val="none" w:sz="0" w:space="0" w:color="auto"/>
            <w:bottom w:val="none" w:sz="0" w:space="0" w:color="auto"/>
            <w:right w:val="none" w:sz="0" w:space="0" w:color="auto"/>
          </w:divBdr>
        </w:div>
        <w:div w:id="67776476">
          <w:marLeft w:val="0"/>
          <w:marRight w:val="0"/>
          <w:marTop w:val="0"/>
          <w:marBottom w:val="0"/>
          <w:divBdr>
            <w:top w:val="none" w:sz="0" w:space="0" w:color="auto"/>
            <w:left w:val="none" w:sz="0" w:space="0" w:color="auto"/>
            <w:bottom w:val="none" w:sz="0" w:space="0" w:color="auto"/>
            <w:right w:val="none" w:sz="0" w:space="0" w:color="auto"/>
          </w:divBdr>
        </w:div>
        <w:div w:id="655109309">
          <w:marLeft w:val="0"/>
          <w:marRight w:val="0"/>
          <w:marTop w:val="0"/>
          <w:marBottom w:val="0"/>
          <w:divBdr>
            <w:top w:val="none" w:sz="0" w:space="0" w:color="auto"/>
            <w:left w:val="none" w:sz="0" w:space="0" w:color="auto"/>
            <w:bottom w:val="none" w:sz="0" w:space="0" w:color="auto"/>
            <w:right w:val="none" w:sz="0" w:space="0" w:color="auto"/>
          </w:divBdr>
        </w:div>
        <w:div w:id="1390378342">
          <w:marLeft w:val="0"/>
          <w:marRight w:val="0"/>
          <w:marTop w:val="0"/>
          <w:marBottom w:val="0"/>
          <w:divBdr>
            <w:top w:val="none" w:sz="0" w:space="0" w:color="auto"/>
            <w:left w:val="none" w:sz="0" w:space="0" w:color="auto"/>
            <w:bottom w:val="none" w:sz="0" w:space="0" w:color="auto"/>
            <w:right w:val="none" w:sz="0" w:space="0" w:color="auto"/>
          </w:divBdr>
        </w:div>
        <w:div w:id="1835879692">
          <w:marLeft w:val="0"/>
          <w:marRight w:val="0"/>
          <w:marTop w:val="0"/>
          <w:marBottom w:val="0"/>
          <w:divBdr>
            <w:top w:val="none" w:sz="0" w:space="0" w:color="auto"/>
            <w:left w:val="none" w:sz="0" w:space="0" w:color="auto"/>
            <w:bottom w:val="none" w:sz="0" w:space="0" w:color="auto"/>
            <w:right w:val="none" w:sz="0" w:space="0" w:color="auto"/>
          </w:divBdr>
        </w:div>
        <w:div w:id="1502164266">
          <w:marLeft w:val="0"/>
          <w:marRight w:val="0"/>
          <w:marTop w:val="0"/>
          <w:marBottom w:val="0"/>
          <w:divBdr>
            <w:top w:val="none" w:sz="0" w:space="0" w:color="auto"/>
            <w:left w:val="none" w:sz="0" w:space="0" w:color="auto"/>
            <w:bottom w:val="none" w:sz="0" w:space="0" w:color="auto"/>
            <w:right w:val="none" w:sz="0" w:space="0" w:color="auto"/>
          </w:divBdr>
        </w:div>
      </w:divsChild>
    </w:div>
    <w:div w:id="827096483">
      <w:bodyDiv w:val="1"/>
      <w:marLeft w:val="0"/>
      <w:marRight w:val="0"/>
      <w:marTop w:val="0"/>
      <w:marBottom w:val="0"/>
      <w:divBdr>
        <w:top w:val="none" w:sz="0" w:space="0" w:color="auto"/>
        <w:left w:val="none" w:sz="0" w:space="0" w:color="auto"/>
        <w:bottom w:val="none" w:sz="0" w:space="0" w:color="auto"/>
        <w:right w:val="none" w:sz="0" w:space="0" w:color="auto"/>
      </w:divBdr>
    </w:div>
    <w:div w:id="851801025">
      <w:bodyDiv w:val="1"/>
      <w:marLeft w:val="0"/>
      <w:marRight w:val="0"/>
      <w:marTop w:val="0"/>
      <w:marBottom w:val="0"/>
      <w:divBdr>
        <w:top w:val="none" w:sz="0" w:space="0" w:color="auto"/>
        <w:left w:val="none" w:sz="0" w:space="0" w:color="auto"/>
        <w:bottom w:val="none" w:sz="0" w:space="0" w:color="auto"/>
        <w:right w:val="none" w:sz="0" w:space="0" w:color="auto"/>
      </w:divBdr>
    </w:div>
    <w:div w:id="950478293">
      <w:bodyDiv w:val="1"/>
      <w:marLeft w:val="0"/>
      <w:marRight w:val="0"/>
      <w:marTop w:val="0"/>
      <w:marBottom w:val="0"/>
      <w:divBdr>
        <w:top w:val="none" w:sz="0" w:space="0" w:color="auto"/>
        <w:left w:val="none" w:sz="0" w:space="0" w:color="auto"/>
        <w:bottom w:val="none" w:sz="0" w:space="0" w:color="auto"/>
        <w:right w:val="none" w:sz="0" w:space="0" w:color="auto"/>
      </w:divBdr>
    </w:div>
    <w:div w:id="1007562814">
      <w:bodyDiv w:val="1"/>
      <w:marLeft w:val="0"/>
      <w:marRight w:val="0"/>
      <w:marTop w:val="0"/>
      <w:marBottom w:val="0"/>
      <w:divBdr>
        <w:top w:val="none" w:sz="0" w:space="0" w:color="auto"/>
        <w:left w:val="none" w:sz="0" w:space="0" w:color="auto"/>
        <w:bottom w:val="none" w:sz="0" w:space="0" w:color="auto"/>
        <w:right w:val="none" w:sz="0" w:space="0" w:color="auto"/>
      </w:divBdr>
    </w:div>
    <w:div w:id="1104544087">
      <w:bodyDiv w:val="1"/>
      <w:marLeft w:val="0"/>
      <w:marRight w:val="0"/>
      <w:marTop w:val="0"/>
      <w:marBottom w:val="0"/>
      <w:divBdr>
        <w:top w:val="none" w:sz="0" w:space="0" w:color="auto"/>
        <w:left w:val="none" w:sz="0" w:space="0" w:color="auto"/>
        <w:bottom w:val="none" w:sz="0" w:space="0" w:color="auto"/>
        <w:right w:val="none" w:sz="0" w:space="0" w:color="auto"/>
      </w:divBdr>
    </w:div>
    <w:div w:id="1245527678">
      <w:bodyDiv w:val="1"/>
      <w:marLeft w:val="0"/>
      <w:marRight w:val="0"/>
      <w:marTop w:val="0"/>
      <w:marBottom w:val="0"/>
      <w:divBdr>
        <w:top w:val="none" w:sz="0" w:space="0" w:color="auto"/>
        <w:left w:val="none" w:sz="0" w:space="0" w:color="auto"/>
        <w:bottom w:val="none" w:sz="0" w:space="0" w:color="auto"/>
        <w:right w:val="none" w:sz="0" w:space="0" w:color="auto"/>
      </w:divBdr>
    </w:div>
    <w:div w:id="1383138841">
      <w:bodyDiv w:val="1"/>
      <w:marLeft w:val="0"/>
      <w:marRight w:val="0"/>
      <w:marTop w:val="0"/>
      <w:marBottom w:val="0"/>
      <w:divBdr>
        <w:top w:val="none" w:sz="0" w:space="0" w:color="auto"/>
        <w:left w:val="none" w:sz="0" w:space="0" w:color="auto"/>
        <w:bottom w:val="none" w:sz="0" w:space="0" w:color="auto"/>
        <w:right w:val="none" w:sz="0" w:space="0" w:color="auto"/>
      </w:divBdr>
    </w:div>
    <w:div w:id="1530409065">
      <w:bodyDiv w:val="1"/>
      <w:marLeft w:val="0"/>
      <w:marRight w:val="0"/>
      <w:marTop w:val="0"/>
      <w:marBottom w:val="0"/>
      <w:divBdr>
        <w:top w:val="none" w:sz="0" w:space="0" w:color="auto"/>
        <w:left w:val="none" w:sz="0" w:space="0" w:color="auto"/>
        <w:bottom w:val="none" w:sz="0" w:space="0" w:color="auto"/>
        <w:right w:val="none" w:sz="0" w:space="0" w:color="auto"/>
      </w:divBdr>
    </w:div>
    <w:div w:id="1571385872">
      <w:bodyDiv w:val="1"/>
      <w:marLeft w:val="0"/>
      <w:marRight w:val="0"/>
      <w:marTop w:val="0"/>
      <w:marBottom w:val="0"/>
      <w:divBdr>
        <w:top w:val="none" w:sz="0" w:space="0" w:color="auto"/>
        <w:left w:val="none" w:sz="0" w:space="0" w:color="auto"/>
        <w:bottom w:val="none" w:sz="0" w:space="0" w:color="auto"/>
        <w:right w:val="none" w:sz="0" w:space="0" w:color="auto"/>
      </w:divBdr>
    </w:div>
    <w:div w:id="1658413309">
      <w:bodyDiv w:val="1"/>
      <w:marLeft w:val="0"/>
      <w:marRight w:val="0"/>
      <w:marTop w:val="0"/>
      <w:marBottom w:val="0"/>
      <w:divBdr>
        <w:top w:val="none" w:sz="0" w:space="0" w:color="auto"/>
        <w:left w:val="none" w:sz="0" w:space="0" w:color="auto"/>
        <w:bottom w:val="none" w:sz="0" w:space="0" w:color="auto"/>
        <w:right w:val="none" w:sz="0" w:space="0" w:color="auto"/>
      </w:divBdr>
    </w:div>
    <w:div w:id="210475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5A1A01D72E647BD5693221BD679C5" ma:contentTypeVersion="15" ma:contentTypeDescription="Create a new document." ma:contentTypeScope="" ma:versionID="3c2ab9aa84fd4c006dd917727ad9c7f3">
  <xsd:schema xmlns:xsd="http://www.w3.org/2001/XMLSchema" xmlns:xs="http://www.w3.org/2001/XMLSchema" xmlns:p="http://schemas.microsoft.com/office/2006/metadata/properties" xmlns:ns2="4843e715-6e2b-4ba9-9a3a-4d68fb20c8b2" xmlns:ns3="b3546b15-478d-4407-9e3d-dd057d7f6994" xmlns:ns4="d3e31f75-4f2c-4af6-b589-5bf1b1179e0b" targetNamespace="http://schemas.microsoft.com/office/2006/metadata/properties" ma:root="true" ma:fieldsID="343826c3512cf32742ba7822fd2d28e7" ns2:_="" ns3:_="" ns4:_="">
    <xsd:import namespace="4843e715-6e2b-4ba9-9a3a-4d68fb20c8b2"/>
    <xsd:import namespace="b3546b15-478d-4407-9e3d-dd057d7f6994"/>
    <xsd:import namespace="d3e31f75-4f2c-4af6-b589-5bf1b1179e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e715-6e2b-4ba9-9a3a-4d68fb20c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603a87c-c1a9-416e-948e-ebbaed432bb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46b15-478d-4407-9e3d-dd057d7f699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4c34925-8e25-4466-afd4-ef16fbc390a2}" ma:internalName="TaxCatchAll" ma:showField="CatchAllData" ma:web="d3e31f75-4f2c-4af6-b589-5bf1b1179e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e31f75-4f2c-4af6-b589-5bf1b1179e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34225-E9A7-4E42-885E-FC33FA765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e715-6e2b-4ba9-9a3a-4d68fb20c8b2"/>
    <ds:schemaRef ds:uri="b3546b15-478d-4407-9e3d-dd057d7f6994"/>
    <ds:schemaRef ds:uri="d3e31f75-4f2c-4af6-b589-5bf1b1179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892FD-5D82-4CD4-B498-B6A68B31F206}">
  <ds:schemaRefs>
    <ds:schemaRef ds:uri="http://schemas.openxmlformats.org/officeDocument/2006/bibliography"/>
  </ds:schemaRefs>
</ds:datastoreItem>
</file>

<file path=customXml/itemProps3.xml><?xml version="1.0" encoding="utf-8"?>
<ds:datastoreItem xmlns:ds="http://schemas.openxmlformats.org/officeDocument/2006/customXml" ds:itemID="{7A66FB68-1059-4933-AC1B-D6C8CFD73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6</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 Bao @ Savills, VN</dc:creator>
  <cp:keywords/>
  <dc:description/>
  <cp:lastModifiedBy>Thu, Nguyen Thi Minh @ Savills, VN</cp:lastModifiedBy>
  <cp:revision>118</cp:revision>
  <cp:lastPrinted>2023-11-17T03:49:00Z</cp:lastPrinted>
  <dcterms:created xsi:type="dcterms:W3CDTF">2025-02-10T03:49:00Z</dcterms:created>
  <dcterms:modified xsi:type="dcterms:W3CDTF">2025-02-13T07:00:00Z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174cb5bf1d4443559f461329f42fde76fddabc40445ad269fd9d1d195981e0f3</vt:lpwstr>
  </property>
</Properties>
</file>