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0246D" w:rsidRDefault="0030246D"/>
    <w:p w14:paraId="6EB27B1F" w14:textId="0F811EE8" w:rsidR="0030246D" w:rsidRDefault="048D4FF1" w:rsidP="42CE49F3">
      <w:pPr>
        <w:pStyle w:val="Title"/>
        <w:keepNext w:val="0"/>
        <w:keepLines w:val="0"/>
        <w:pBdr>
          <w:top w:val="single" w:sz="8" w:space="1" w:color="DC6900"/>
        </w:pBdr>
        <w:spacing w:after="240" w:line="240" w:lineRule="auto"/>
        <w:ind w:right="163"/>
        <w:rPr>
          <w:sz w:val="36"/>
          <w:szCs w:val="36"/>
        </w:rPr>
      </w:pPr>
      <w:r w:rsidRPr="42CE49F3">
        <w:rPr>
          <w:sz w:val="36"/>
          <w:szCs w:val="36"/>
        </w:rPr>
        <w:t>Thông cáo báo chí</w:t>
      </w:r>
    </w:p>
    <w:tbl>
      <w:tblPr>
        <w:tblStyle w:val="a"/>
        <w:tblW w:w="9072" w:type="dxa"/>
        <w:tblInd w:w="-115" w:type="dxa"/>
        <w:tblLayout w:type="fixed"/>
        <w:tblLook w:val="0000" w:firstRow="0" w:lastRow="0" w:firstColumn="0" w:lastColumn="0" w:noHBand="0" w:noVBand="0"/>
      </w:tblPr>
      <w:tblGrid>
        <w:gridCol w:w="2268"/>
        <w:gridCol w:w="6804"/>
      </w:tblGrid>
      <w:tr w:rsidR="0030246D" w14:paraId="2CAFFD19" w14:textId="77777777" w:rsidTr="16943858">
        <w:tc>
          <w:tcPr>
            <w:tcW w:w="2268" w:type="dxa"/>
          </w:tcPr>
          <w:p w14:paraId="491072FA" w14:textId="4EBBBE5E" w:rsidR="0030246D" w:rsidRDefault="048D4FF1" w:rsidP="42CE49F3">
            <w:pPr>
              <w:spacing w:line="259" w:lineRule="auto"/>
            </w:pPr>
            <w:r w:rsidRPr="42CE49F3">
              <w:rPr>
                <w:sz w:val="20"/>
                <w:szCs w:val="20"/>
              </w:rPr>
              <w:t>Ngày</w:t>
            </w:r>
          </w:p>
        </w:tc>
        <w:tc>
          <w:tcPr>
            <w:tcW w:w="6804" w:type="dxa"/>
          </w:tcPr>
          <w:p w14:paraId="1F28C8A6" w14:textId="3704E960" w:rsidR="0030246D" w:rsidRDefault="603E1874">
            <w:pPr>
              <w:spacing w:line="259" w:lineRule="auto"/>
              <w:rPr>
                <w:sz w:val="20"/>
                <w:szCs w:val="20"/>
              </w:rPr>
            </w:pPr>
            <w:r w:rsidRPr="16943858">
              <w:rPr>
                <w:sz w:val="20"/>
                <w:szCs w:val="20"/>
              </w:rPr>
              <w:t>1</w:t>
            </w:r>
            <w:r w:rsidR="00016026">
              <w:rPr>
                <w:sz w:val="20"/>
                <w:szCs w:val="20"/>
              </w:rPr>
              <w:t>8</w:t>
            </w:r>
            <w:r w:rsidR="60E8D195" w:rsidRPr="16943858">
              <w:rPr>
                <w:sz w:val="20"/>
                <w:szCs w:val="20"/>
              </w:rPr>
              <w:t>/ 2/2025</w:t>
            </w:r>
          </w:p>
        </w:tc>
      </w:tr>
      <w:tr w:rsidR="0030246D" w14:paraId="32443C55" w14:textId="77777777" w:rsidTr="16943858">
        <w:tc>
          <w:tcPr>
            <w:tcW w:w="2268" w:type="dxa"/>
          </w:tcPr>
          <w:p w14:paraId="60120141" w14:textId="77777777" w:rsidR="0030246D" w:rsidRDefault="00F64C5E">
            <w:pPr>
              <w:spacing w:before="200" w:line="259" w:lineRule="auto"/>
              <w:rPr>
                <w:sz w:val="20"/>
                <w:szCs w:val="20"/>
              </w:rPr>
            </w:pPr>
            <w:r>
              <w:rPr>
                <w:sz w:val="20"/>
                <w:szCs w:val="20"/>
              </w:rPr>
              <w:t>Contacts</w:t>
            </w:r>
          </w:p>
        </w:tc>
        <w:tc>
          <w:tcPr>
            <w:tcW w:w="6804" w:type="dxa"/>
          </w:tcPr>
          <w:p w14:paraId="44F9AF93" w14:textId="5E8B5918" w:rsidR="0030246D" w:rsidRDefault="00F64C5E">
            <w:pPr>
              <w:widowControl w:val="0"/>
              <w:tabs>
                <w:tab w:val="left" w:pos="1440"/>
              </w:tabs>
              <w:spacing w:before="200" w:after="240" w:line="259" w:lineRule="auto"/>
              <w:rPr>
                <w:sz w:val="20"/>
                <w:szCs w:val="20"/>
              </w:rPr>
            </w:pPr>
            <w:r w:rsidRPr="16943858">
              <w:rPr>
                <w:sz w:val="20"/>
                <w:szCs w:val="20"/>
              </w:rPr>
              <w:t>Nguy</w:t>
            </w:r>
            <w:r w:rsidR="26DA9B13" w:rsidRPr="16943858">
              <w:rPr>
                <w:sz w:val="20"/>
                <w:szCs w:val="20"/>
              </w:rPr>
              <w:t>ễn Mai Hương</w:t>
            </w:r>
            <w:r w:rsidRPr="16943858">
              <w:rPr>
                <w:sz w:val="20"/>
                <w:szCs w:val="20"/>
              </w:rPr>
              <w:t xml:space="preserve">, PwC Vietnam, Marketing &amp; </w:t>
            </w:r>
            <w:r w:rsidR="74FE454B" w:rsidRPr="16943858">
              <w:rPr>
                <w:sz w:val="20"/>
                <w:szCs w:val="20"/>
              </w:rPr>
              <w:t>Truyền thông</w:t>
            </w:r>
          </w:p>
          <w:p w14:paraId="2004A97E" w14:textId="77777777" w:rsidR="0030246D" w:rsidRDefault="00F64C5E">
            <w:pPr>
              <w:widowControl w:val="0"/>
              <w:tabs>
                <w:tab w:val="left" w:pos="1440"/>
              </w:tabs>
              <w:spacing w:before="200" w:after="240" w:line="259" w:lineRule="auto"/>
              <w:rPr>
                <w:color w:val="1155CC"/>
                <w:sz w:val="20"/>
                <w:szCs w:val="20"/>
              </w:rPr>
            </w:pPr>
            <w:r>
              <w:rPr>
                <w:sz w:val="20"/>
                <w:szCs w:val="20"/>
              </w:rPr>
              <w:t xml:space="preserve">Email: </w:t>
            </w:r>
            <w:r>
              <w:rPr>
                <w:color w:val="1155CC"/>
                <w:sz w:val="20"/>
                <w:szCs w:val="20"/>
              </w:rPr>
              <w:t>nguyen.mai.huong@pwc.com</w:t>
            </w:r>
          </w:p>
          <w:p w14:paraId="36185A15" w14:textId="77777777" w:rsidR="0030246D" w:rsidRDefault="00F64C5E">
            <w:pPr>
              <w:widowControl w:val="0"/>
              <w:tabs>
                <w:tab w:val="left" w:pos="1440"/>
              </w:tabs>
              <w:spacing w:before="200" w:line="259" w:lineRule="auto"/>
              <w:rPr>
                <w:sz w:val="20"/>
                <w:szCs w:val="20"/>
              </w:rPr>
            </w:pPr>
            <w:r>
              <w:rPr>
                <w:sz w:val="20"/>
                <w:szCs w:val="20"/>
              </w:rPr>
              <w:t>Tel: (+84) 28 3823 0796; Mobile: (+84) 986930 631</w:t>
            </w:r>
          </w:p>
          <w:p w14:paraId="0A37501D" w14:textId="77777777" w:rsidR="0030246D" w:rsidRDefault="0030246D">
            <w:pPr>
              <w:tabs>
                <w:tab w:val="left" w:pos="1440"/>
              </w:tabs>
              <w:spacing w:line="259" w:lineRule="auto"/>
              <w:rPr>
                <w:sz w:val="20"/>
                <w:szCs w:val="20"/>
              </w:rPr>
            </w:pPr>
          </w:p>
        </w:tc>
      </w:tr>
      <w:tr w:rsidR="0030246D" w14:paraId="55346119" w14:textId="77777777" w:rsidTr="16943858">
        <w:tc>
          <w:tcPr>
            <w:tcW w:w="2268" w:type="dxa"/>
          </w:tcPr>
          <w:p w14:paraId="6A6D031D" w14:textId="65B7D36A" w:rsidR="0030246D" w:rsidRDefault="0ABD72E7" w:rsidP="42CE49F3">
            <w:pPr>
              <w:spacing w:line="259" w:lineRule="auto"/>
              <w:ind w:right="163"/>
            </w:pPr>
            <w:r w:rsidRPr="42CE49F3">
              <w:rPr>
                <w:sz w:val="20"/>
                <w:szCs w:val="20"/>
              </w:rPr>
              <w:t>Trang</w:t>
            </w:r>
          </w:p>
        </w:tc>
        <w:tc>
          <w:tcPr>
            <w:tcW w:w="6804" w:type="dxa"/>
          </w:tcPr>
          <w:p w14:paraId="293D14BD" w14:textId="768677C1" w:rsidR="0030246D" w:rsidRDefault="1737DDAF">
            <w:pPr>
              <w:spacing w:line="259" w:lineRule="auto"/>
              <w:ind w:right="163"/>
              <w:rPr>
                <w:sz w:val="20"/>
                <w:szCs w:val="20"/>
              </w:rPr>
            </w:pPr>
            <w:r w:rsidRPr="16943858">
              <w:rPr>
                <w:sz w:val="20"/>
                <w:szCs w:val="20"/>
              </w:rPr>
              <w:t>4</w:t>
            </w:r>
            <w:r w:rsidR="00F64C5E" w:rsidRPr="16943858">
              <w:rPr>
                <w:sz w:val="20"/>
                <w:szCs w:val="20"/>
              </w:rPr>
              <w:t xml:space="preserve"> </w:t>
            </w:r>
            <w:r w:rsidR="4361B77F" w:rsidRPr="16943858">
              <w:rPr>
                <w:sz w:val="20"/>
                <w:szCs w:val="20"/>
              </w:rPr>
              <w:t>trang</w:t>
            </w:r>
          </w:p>
          <w:p w14:paraId="5DAB6C7B" w14:textId="77777777" w:rsidR="0030246D" w:rsidRDefault="0030246D">
            <w:pPr>
              <w:spacing w:line="259" w:lineRule="auto"/>
              <w:ind w:right="163"/>
              <w:rPr>
                <w:sz w:val="20"/>
                <w:szCs w:val="20"/>
              </w:rPr>
            </w:pPr>
          </w:p>
        </w:tc>
      </w:tr>
    </w:tbl>
    <w:p w14:paraId="02EB378F" w14:textId="77777777" w:rsidR="0030246D" w:rsidRDefault="0030246D">
      <w:pPr>
        <w:pStyle w:val="Title"/>
        <w:keepNext w:val="0"/>
        <w:keepLines w:val="0"/>
        <w:pBdr>
          <w:top w:val="single" w:sz="8" w:space="1" w:color="DC6900"/>
        </w:pBdr>
        <w:spacing w:after="0" w:line="240" w:lineRule="auto"/>
        <w:ind w:right="163"/>
        <w:rPr>
          <w:b/>
          <w:sz w:val="30"/>
          <w:szCs w:val="30"/>
        </w:rPr>
      </w:pPr>
      <w:bookmarkStart w:id="0" w:name="_z737kry7thfw"/>
      <w:bookmarkEnd w:id="0"/>
    </w:p>
    <w:p w14:paraId="708DB1B0" w14:textId="2C022AD3" w:rsidR="53A5B614" w:rsidRDefault="53A5B614" w:rsidP="42CE49F3">
      <w:pPr>
        <w:ind w:left="1440" w:hanging="1260"/>
        <w:jc w:val="center"/>
        <w:rPr>
          <w:b/>
          <w:bCs/>
          <w:sz w:val="30"/>
          <w:szCs w:val="30"/>
        </w:rPr>
      </w:pPr>
      <w:r w:rsidRPr="42CE49F3">
        <w:rPr>
          <w:b/>
          <w:bCs/>
          <w:sz w:val="30"/>
          <w:szCs w:val="30"/>
        </w:rPr>
        <w:t xml:space="preserve">Thị trường M&amp;A năm 2025: Thương vụ </w:t>
      </w:r>
      <w:r w:rsidR="00FC0939">
        <w:rPr>
          <w:b/>
          <w:bCs/>
          <w:sz w:val="30"/>
          <w:szCs w:val="30"/>
        </w:rPr>
        <w:t xml:space="preserve"> “khủng”</w:t>
      </w:r>
      <w:r w:rsidRPr="42CE49F3">
        <w:rPr>
          <w:b/>
          <w:bCs/>
          <w:sz w:val="30"/>
          <w:szCs w:val="30"/>
        </w:rPr>
        <w:t xml:space="preserve">, </w:t>
      </w:r>
    </w:p>
    <w:p w14:paraId="35C2D9D5" w14:textId="0A1F94A5" w:rsidR="53A5B614" w:rsidRDefault="53A5B614" w:rsidP="42CE49F3">
      <w:pPr>
        <w:ind w:left="1440" w:hanging="1260"/>
        <w:jc w:val="center"/>
        <w:rPr>
          <w:b/>
          <w:bCs/>
          <w:sz w:val="30"/>
          <w:szCs w:val="30"/>
        </w:rPr>
      </w:pPr>
      <w:r w:rsidRPr="42CE49F3">
        <w:rPr>
          <w:b/>
          <w:bCs/>
          <w:sz w:val="30"/>
          <w:szCs w:val="30"/>
        </w:rPr>
        <w:t>chiến lược thắng lợi và những yếu tố bất ngờ</w:t>
      </w:r>
    </w:p>
    <w:p w14:paraId="0154C1B1" w14:textId="67EA7AC9" w:rsidR="42CE49F3" w:rsidRDefault="42CE49F3" w:rsidP="42CE49F3">
      <w:pPr>
        <w:rPr>
          <w:sz w:val="21"/>
          <w:szCs w:val="21"/>
          <w:lang w:val="en-US"/>
        </w:rPr>
      </w:pPr>
    </w:p>
    <w:p w14:paraId="47A49C59" w14:textId="5FC0A858" w:rsidR="1795A627" w:rsidRDefault="53A5B614" w:rsidP="16943858">
      <w:pPr>
        <w:rPr>
          <w:b/>
          <w:bCs/>
          <w:sz w:val="21"/>
          <w:szCs w:val="21"/>
        </w:rPr>
      </w:pPr>
      <w:r w:rsidRPr="16943858">
        <w:rPr>
          <w:b/>
          <w:bCs/>
          <w:sz w:val="21"/>
          <w:szCs w:val="21"/>
          <w:lang w:val="en-US"/>
        </w:rPr>
        <w:t>Việt Nam</w:t>
      </w:r>
      <w:r w:rsidR="00A17915">
        <w:rPr>
          <w:b/>
          <w:bCs/>
          <w:sz w:val="21"/>
          <w:szCs w:val="21"/>
          <w:lang w:val="en-US"/>
        </w:rPr>
        <w:t xml:space="preserve">, </w:t>
      </w:r>
      <w:r w:rsidRPr="16943858">
        <w:rPr>
          <w:b/>
          <w:bCs/>
          <w:sz w:val="21"/>
          <w:szCs w:val="21"/>
          <w:lang w:val="en-US"/>
        </w:rPr>
        <w:t xml:space="preserve">ngày </w:t>
      </w:r>
      <w:r w:rsidR="5B880058" w:rsidRPr="16943858">
        <w:rPr>
          <w:b/>
          <w:bCs/>
          <w:sz w:val="21"/>
          <w:szCs w:val="21"/>
          <w:lang w:val="en-US"/>
        </w:rPr>
        <w:t>1</w:t>
      </w:r>
      <w:r w:rsidR="00A17915">
        <w:rPr>
          <w:b/>
          <w:bCs/>
          <w:sz w:val="21"/>
          <w:szCs w:val="21"/>
          <w:lang w:val="en-US"/>
        </w:rPr>
        <w:t>8</w:t>
      </w:r>
      <w:r w:rsidRPr="16943858">
        <w:rPr>
          <w:b/>
          <w:bCs/>
          <w:sz w:val="21"/>
          <w:szCs w:val="21"/>
          <w:lang w:val="en-US"/>
        </w:rPr>
        <w:t xml:space="preserve"> tháng 2 năm 2025 - </w:t>
      </w:r>
      <w:r w:rsidR="30217AF5" w:rsidRPr="16943858">
        <w:rPr>
          <w:b/>
          <w:bCs/>
          <w:sz w:val="21"/>
          <w:szCs w:val="21"/>
          <w:lang w:val="en-US"/>
        </w:rPr>
        <w:t xml:space="preserve">Thị trường đang chứng kiến sự sôi động trở lại của các thương vụ </w:t>
      </w:r>
      <w:r w:rsidR="00FC0939">
        <w:rPr>
          <w:b/>
          <w:bCs/>
          <w:sz w:val="21"/>
          <w:szCs w:val="21"/>
          <w:lang w:val="en-US"/>
        </w:rPr>
        <w:t xml:space="preserve"> “khủng”</w:t>
      </w:r>
      <w:r w:rsidR="30217AF5" w:rsidRPr="16943858">
        <w:rPr>
          <w:b/>
          <w:bCs/>
          <w:sz w:val="21"/>
          <w:szCs w:val="21"/>
          <w:lang w:val="en-US"/>
        </w:rPr>
        <w:t>, đòi hỏi các nhà đầu tư phải có sự linh hoạt để thích ứng với những thay đổi bất ngờ.</w:t>
      </w:r>
    </w:p>
    <w:p w14:paraId="40A46868" w14:textId="44546A24" w:rsidR="1795A627" w:rsidRPr="00AA23B1" w:rsidRDefault="0E48FD77" w:rsidP="42CE49F3">
      <w:pPr>
        <w:spacing w:before="240" w:after="240"/>
        <w:rPr>
          <w:sz w:val="20"/>
          <w:szCs w:val="20"/>
          <w:lang w:val="en-US"/>
        </w:rPr>
      </w:pPr>
      <w:r w:rsidRPr="00AA23B1">
        <w:rPr>
          <w:sz w:val="20"/>
          <w:szCs w:val="20"/>
          <w:lang w:val="en-US"/>
        </w:rPr>
        <w:t xml:space="preserve">Xu hướng giao dịch </w:t>
      </w:r>
      <w:r w:rsidR="027DA11D" w:rsidRPr="00AA23B1">
        <w:rPr>
          <w:sz w:val="20"/>
          <w:szCs w:val="20"/>
          <w:lang w:val="en-US"/>
        </w:rPr>
        <w:t xml:space="preserve">toàn cầu </w:t>
      </w:r>
      <w:r w:rsidRPr="00AA23B1">
        <w:rPr>
          <w:sz w:val="20"/>
          <w:szCs w:val="20"/>
          <w:lang w:val="en-US"/>
        </w:rPr>
        <w:t xml:space="preserve">gần đây cho thấy sự hồi phục mạnh mẽ của các thương vụ lớn: khối lượng giao dịch trị giá trên 1 tỷ đô la Mỹ đã tăng 17% trong năm 2024, đồng thời giá trị trung bình của mỗi thương vụ cũng tăng lên đáng kể. </w:t>
      </w:r>
      <w:r w:rsidR="1ED07669" w:rsidRPr="00AA23B1">
        <w:rPr>
          <w:sz w:val="20"/>
          <w:szCs w:val="20"/>
          <w:lang w:val="en-US"/>
        </w:rPr>
        <w:t>Tuy nhiên, bức tranh thị trường không đồng đều khi số lượng các thương vụ vừa và nhỏ lại giảm. Bên cạnh đó, một số yếu tố bất ngờ tiềm ẩn có thể làm đảo lộn cục diện hiện tại.</w:t>
      </w:r>
    </w:p>
    <w:p w14:paraId="61635C84" w14:textId="4E06EE44" w:rsidR="1795A627" w:rsidRPr="00AA23B1" w:rsidRDefault="53A5B614" w:rsidP="16943858">
      <w:pPr>
        <w:spacing w:before="240" w:after="240"/>
        <w:rPr>
          <w:sz w:val="20"/>
          <w:szCs w:val="20"/>
          <w:lang w:val="en-US"/>
        </w:rPr>
      </w:pPr>
      <w:r w:rsidRPr="00AA23B1">
        <w:rPr>
          <w:sz w:val="20"/>
          <w:szCs w:val="20"/>
          <w:lang w:val="en-US"/>
        </w:rPr>
        <w:t xml:space="preserve">Báo cáo "Xu hướng M&amp;A Toàn cầu của PwC: Triển vọng năm 2025" đã </w:t>
      </w:r>
      <w:r w:rsidR="589A7F7D" w:rsidRPr="00AA23B1">
        <w:rPr>
          <w:sz w:val="20"/>
          <w:szCs w:val="20"/>
          <w:lang w:val="en-US"/>
        </w:rPr>
        <w:t>phân tích</w:t>
      </w:r>
      <w:r w:rsidRPr="00AA23B1">
        <w:rPr>
          <w:sz w:val="20"/>
          <w:szCs w:val="20"/>
          <w:lang w:val="en-US"/>
        </w:rPr>
        <w:t xml:space="preserve"> ba yếu tố bất ngờ chính có thể ảnh hưởng đến hoạt động M&amp;A trong năm 2025 và</w:t>
      </w:r>
      <w:r w:rsidR="17AAAC74" w:rsidRPr="00AA23B1">
        <w:rPr>
          <w:sz w:val="20"/>
          <w:szCs w:val="20"/>
          <w:lang w:val="en-US"/>
        </w:rPr>
        <w:t xml:space="preserve"> những động lực thúc đẩy nhu cầu thực hiện thương vụ ngày càng tăng.</w:t>
      </w:r>
      <w:r w:rsidR="26073A22" w:rsidRPr="00AA23B1">
        <w:rPr>
          <w:sz w:val="20"/>
          <w:szCs w:val="20"/>
          <w:lang w:val="en-US"/>
        </w:rPr>
        <w:t xml:space="preserve"> Hoạt động M&amp;A tại Việt Nam không nằm ngoài xu hướng toàn cầu này</w:t>
      </w:r>
      <w:r w:rsidR="5AD762A9" w:rsidRPr="00AA23B1">
        <w:rPr>
          <w:sz w:val="20"/>
          <w:szCs w:val="20"/>
          <w:lang w:val="en-US"/>
        </w:rPr>
        <w:t>, với những hoạt động thương vụ sôi động</w:t>
      </w:r>
      <w:r w:rsidR="00F30093" w:rsidRPr="00AA23B1">
        <w:rPr>
          <w:sz w:val="20"/>
          <w:szCs w:val="20"/>
          <w:lang w:val="en-US"/>
        </w:rPr>
        <w:t xml:space="preserve"> trong một số ngành cụ thể</w:t>
      </w:r>
      <w:r w:rsidR="5AD762A9" w:rsidRPr="00AA23B1">
        <w:rPr>
          <w:sz w:val="20"/>
          <w:szCs w:val="20"/>
          <w:lang w:val="en-US"/>
        </w:rPr>
        <w:t xml:space="preserve">. </w:t>
      </w:r>
    </w:p>
    <w:p w14:paraId="71ADFFE6" w14:textId="1A7EAEB0" w:rsidR="1795A627" w:rsidRPr="00AA23B1" w:rsidRDefault="1B02514A" w:rsidP="42CE49F3">
      <w:pPr>
        <w:rPr>
          <w:color w:val="000000" w:themeColor="text1"/>
          <w:sz w:val="20"/>
          <w:szCs w:val="20"/>
        </w:rPr>
      </w:pPr>
      <w:r w:rsidRPr="00AA23B1">
        <w:rPr>
          <w:color w:val="000000" w:themeColor="text1"/>
          <w:sz w:val="20"/>
          <w:szCs w:val="20"/>
          <w:lang w:val="en-US"/>
        </w:rPr>
        <w:t xml:space="preserve">Thị trường M&amp;A </w:t>
      </w:r>
      <w:r w:rsidR="37923CAC" w:rsidRPr="00AA23B1">
        <w:rPr>
          <w:color w:val="000000" w:themeColor="text1"/>
          <w:sz w:val="20"/>
          <w:szCs w:val="20"/>
          <w:lang w:val="en-US"/>
        </w:rPr>
        <w:t xml:space="preserve">toàn cầu </w:t>
      </w:r>
      <w:r w:rsidRPr="00AA23B1">
        <w:rPr>
          <w:color w:val="000000" w:themeColor="text1"/>
          <w:sz w:val="20"/>
          <w:szCs w:val="20"/>
          <w:lang w:val="en-US"/>
        </w:rPr>
        <w:t>đang diễn biến như thế nào?</w:t>
      </w:r>
    </w:p>
    <w:p w14:paraId="09478999" w14:textId="147E9986" w:rsidR="1795A627" w:rsidRPr="00AA23B1" w:rsidRDefault="1795A627" w:rsidP="42CE49F3">
      <w:pPr>
        <w:rPr>
          <w:sz w:val="20"/>
          <w:szCs w:val="20"/>
          <w:lang w:val="en-US"/>
        </w:rPr>
      </w:pPr>
    </w:p>
    <w:p w14:paraId="4A1CBB4D" w14:textId="12740528" w:rsidR="1795A627" w:rsidRPr="00AA23B1" w:rsidRDefault="0765760D" w:rsidP="42CE49F3">
      <w:pPr>
        <w:rPr>
          <w:sz w:val="20"/>
          <w:szCs w:val="20"/>
          <w:lang w:val="en-US"/>
        </w:rPr>
      </w:pPr>
      <w:r w:rsidRPr="00AA23B1">
        <w:rPr>
          <w:sz w:val="20"/>
          <w:szCs w:val="20"/>
          <w:lang w:val="en-US"/>
        </w:rPr>
        <w:t>T</w:t>
      </w:r>
      <w:r w:rsidR="2F4B4AA1" w:rsidRPr="00AA23B1">
        <w:rPr>
          <w:sz w:val="20"/>
          <w:szCs w:val="20"/>
          <w:lang w:val="en-US"/>
        </w:rPr>
        <w:t xml:space="preserve">rong năm 2024, giá trị các thương vụ đã tăng 5%, chủ yếu do giá trị trung bình của mỗi thương vụ tăng lên, mặc dù khối lượng giao dịch giảm 17% do </w:t>
      </w:r>
      <w:r w:rsidR="665CACF4" w:rsidRPr="00AA23B1">
        <w:rPr>
          <w:sz w:val="20"/>
          <w:szCs w:val="20"/>
          <w:lang w:val="en-US"/>
        </w:rPr>
        <w:t>những</w:t>
      </w:r>
      <w:r w:rsidR="2F4B4AA1" w:rsidRPr="00AA23B1">
        <w:rPr>
          <w:sz w:val="20"/>
          <w:szCs w:val="20"/>
          <w:lang w:val="en-US"/>
        </w:rPr>
        <w:t xml:space="preserve"> bất ổn kinh tế vĩ mô xoay quanh lạm phát và lãi suất, điều này đã kìm hãm hoạt động M&amp;A đối với các thương vụ vừa và nhỏ. </w:t>
      </w:r>
      <w:r w:rsidR="13D8EEA0" w:rsidRPr="00AA23B1">
        <w:rPr>
          <w:sz w:val="20"/>
          <w:szCs w:val="20"/>
          <w:lang w:val="en-US"/>
        </w:rPr>
        <w:t>Thị trường</w:t>
      </w:r>
      <w:r w:rsidR="2F4B4AA1" w:rsidRPr="00AA23B1">
        <w:rPr>
          <w:sz w:val="20"/>
          <w:szCs w:val="20"/>
          <w:lang w:val="en-US"/>
        </w:rPr>
        <w:t xml:space="preserve"> M&amp;A đã chứng kiến sự gia tăng đáng kể ở</w:t>
      </w:r>
      <w:r w:rsidR="1426B689" w:rsidRPr="00AA23B1">
        <w:rPr>
          <w:sz w:val="20"/>
          <w:szCs w:val="20"/>
          <w:lang w:val="en-US"/>
        </w:rPr>
        <w:t xml:space="preserve"> phân khúc</w:t>
      </w:r>
      <w:r w:rsidR="2F4B4AA1" w:rsidRPr="00AA23B1">
        <w:rPr>
          <w:sz w:val="20"/>
          <w:szCs w:val="20"/>
          <w:lang w:val="en-US"/>
        </w:rPr>
        <w:t xml:space="preserve"> cao</w:t>
      </w:r>
      <w:r w:rsidR="0B794882" w:rsidRPr="00AA23B1">
        <w:rPr>
          <w:sz w:val="20"/>
          <w:szCs w:val="20"/>
          <w:lang w:val="en-US"/>
        </w:rPr>
        <w:t xml:space="preserve"> cấp</w:t>
      </w:r>
      <w:r w:rsidR="2F4B4AA1" w:rsidRPr="00AA23B1">
        <w:rPr>
          <w:sz w:val="20"/>
          <w:szCs w:val="20"/>
          <w:lang w:val="en-US"/>
        </w:rPr>
        <w:t xml:space="preserve"> h</w:t>
      </w:r>
      <w:r w:rsidR="0A396A79" w:rsidRPr="00AA23B1">
        <w:rPr>
          <w:sz w:val="20"/>
          <w:szCs w:val="20"/>
          <w:lang w:val="en-US"/>
        </w:rPr>
        <w:t>ơ</w:t>
      </w:r>
      <w:r w:rsidR="2F4B4AA1" w:rsidRPr="00AA23B1">
        <w:rPr>
          <w:sz w:val="20"/>
          <w:szCs w:val="20"/>
          <w:lang w:val="en-US"/>
        </w:rPr>
        <w:t xml:space="preserve">n, với hơn 500 thương vụ trị giá hơn 1 tỷ USD, tăng từ 430 thương vụ trong năm 2023. Ngoài ra, các "megadeal" (thương vụ </w:t>
      </w:r>
      <w:r w:rsidR="00016026" w:rsidRPr="00AA23B1">
        <w:rPr>
          <w:sz w:val="20"/>
          <w:szCs w:val="20"/>
          <w:lang w:val="en-US"/>
        </w:rPr>
        <w:t xml:space="preserve">siêu </w:t>
      </w:r>
      <w:r w:rsidR="2F4B4AA1" w:rsidRPr="00AA23B1">
        <w:rPr>
          <w:sz w:val="20"/>
          <w:szCs w:val="20"/>
          <w:lang w:val="en-US"/>
        </w:rPr>
        <w:t>lớn) đã tăng 18%, với 72 thương vụ</w:t>
      </w:r>
      <w:r w:rsidR="00F30093" w:rsidRPr="00AA23B1">
        <w:rPr>
          <w:sz w:val="20"/>
          <w:szCs w:val="20"/>
          <w:lang w:val="en-US"/>
        </w:rPr>
        <w:t xml:space="preserve"> với tổng</w:t>
      </w:r>
      <w:r w:rsidR="2F4B4AA1" w:rsidRPr="00AA23B1">
        <w:rPr>
          <w:sz w:val="20"/>
          <w:szCs w:val="20"/>
          <w:lang w:val="en-US"/>
        </w:rPr>
        <w:t xml:space="preserve"> trị giá hơn 5 tỷ USD được công bố trong năm 2024, so với 61 thương vụ </w:t>
      </w:r>
      <w:r w:rsidR="00F30093" w:rsidRPr="00AA23B1">
        <w:rPr>
          <w:sz w:val="20"/>
          <w:szCs w:val="20"/>
          <w:lang w:val="en-US"/>
        </w:rPr>
        <w:t xml:space="preserve">của </w:t>
      </w:r>
      <w:r w:rsidR="2F4B4AA1" w:rsidRPr="00AA23B1">
        <w:rPr>
          <w:sz w:val="20"/>
          <w:szCs w:val="20"/>
          <w:lang w:val="en-US"/>
        </w:rPr>
        <w:t>năm trước</w:t>
      </w:r>
      <w:r w:rsidR="58FC6195" w:rsidRPr="00AA23B1">
        <w:rPr>
          <w:sz w:val="20"/>
          <w:szCs w:val="20"/>
          <w:lang w:val="en-US"/>
        </w:rPr>
        <w:t xml:space="preserve"> đó</w:t>
      </w:r>
      <w:r w:rsidR="2F4B4AA1" w:rsidRPr="00AA23B1">
        <w:rPr>
          <w:sz w:val="20"/>
          <w:szCs w:val="20"/>
          <w:lang w:val="en-US"/>
        </w:rPr>
        <w:t>.</w:t>
      </w:r>
    </w:p>
    <w:p w14:paraId="4A02A5EB" w14:textId="21353DA0" w:rsidR="1795A627" w:rsidRPr="00AA23B1" w:rsidRDefault="2F4B4AA1" w:rsidP="42CE49F3">
      <w:pPr>
        <w:spacing w:before="240" w:after="240"/>
        <w:rPr>
          <w:sz w:val="20"/>
          <w:szCs w:val="20"/>
        </w:rPr>
      </w:pPr>
      <w:r w:rsidRPr="00AA23B1">
        <w:rPr>
          <w:sz w:val="20"/>
          <w:szCs w:val="20"/>
          <w:lang w:val="en-US"/>
        </w:rPr>
        <w:t xml:space="preserve">Các CEO lạc quan về kế hoạch M&amp;A của họ trong năm 2025. Theo Khảo sát CEO Toàn cầu lần thứ 28 của PwC, </w:t>
      </w:r>
      <w:r w:rsidR="20BEC00B" w:rsidRPr="00AA23B1">
        <w:rPr>
          <w:sz w:val="20"/>
          <w:szCs w:val="20"/>
          <w:lang w:val="en-US"/>
        </w:rPr>
        <w:t xml:space="preserve">81% CEO đã thực hiện </w:t>
      </w:r>
      <w:r w:rsidR="008345F6" w:rsidRPr="00AA23B1">
        <w:rPr>
          <w:sz w:val="20"/>
          <w:szCs w:val="20"/>
          <w:lang w:val="en-US"/>
        </w:rPr>
        <w:t xml:space="preserve">ít nhát </w:t>
      </w:r>
      <w:r w:rsidR="20BEC00B" w:rsidRPr="00AA23B1">
        <w:rPr>
          <w:sz w:val="20"/>
          <w:szCs w:val="20"/>
          <w:lang w:val="en-US"/>
        </w:rPr>
        <w:t xml:space="preserve">một thương vụ mua bán sáp nhập </w:t>
      </w:r>
      <w:r w:rsidR="00A17915" w:rsidRPr="00AA23B1">
        <w:rPr>
          <w:sz w:val="20"/>
          <w:szCs w:val="20"/>
          <w:lang w:val="en-US"/>
        </w:rPr>
        <w:t>lớn</w:t>
      </w:r>
      <w:r w:rsidR="20BEC00B" w:rsidRPr="00AA23B1">
        <w:rPr>
          <w:sz w:val="20"/>
          <w:szCs w:val="20"/>
          <w:lang w:val="en-US"/>
        </w:rPr>
        <w:t xml:space="preserve"> trong ba năm qua dự định sẽ thực hiện một hoặc nhiều thương vụ mua bán sáp nhập trong ba năm tới.</w:t>
      </w:r>
    </w:p>
    <w:p w14:paraId="438C48BB" w14:textId="63487211" w:rsidR="27C67A5F" w:rsidRPr="00AA23B1" w:rsidRDefault="548EEDDF" w:rsidP="42CE49F3">
      <w:pPr>
        <w:rPr>
          <w:color w:val="000000" w:themeColor="text1"/>
          <w:sz w:val="20"/>
          <w:szCs w:val="20"/>
          <w:lang w:val="en-US"/>
        </w:rPr>
      </w:pPr>
      <w:r w:rsidRPr="00AA23B1">
        <w:rPr>
          <w:color w:val="000000" w:themeColor="text1"/>
          <w:sz w:val="20"/>
          <w:szCs w:val="20"/>
          <w:lang w:val="en-US"/>
        </w:rPr>
        <w:lastRenderedPageBreak/>
        <w:t>K</w:t>
      </w:r>
      <w:r w:rsidR="20BEC00B" w:rsidRPr="00AA23B1">
        <w:rPr>
          <w:color w:val="000000" w:themeColor="text1"/>
          <w:sz w:val="20"/>
          <w:szCs w:val="20"/>
          <w:lang w:val="en-US"/>
        </w:rPr>
        <w:t xml:space="preserve">ỳ vọng môi trường </w:t>
      </w:r>
      <w:r w:rsidR="5B50EB49" w:rsidRPr="00AA23B1">
        <w:rPr>
          <w:color w:val="000000" w:themeColor="text1"/>
          <w:sz w:val="20"/>
          <w:szCs w:val="20"/>
          <w:lang w:val="en-US"/>
        </w:rPr>
        <w:t xml:space="preserve">M&amp;A </w:t>
      </w:r>
      <w:r w:rsidR="007C3A52" w:rsidRPr="00AA23B1">
        <w:rPr>
          <w:color w:val="000000" w:themeColor="text1"/>
          <w:sz w:val="20"/>
          <w:szCs w:val="20"/>
          <w:lang w:val="en-US"/>
        </w:rPr>
        <w:t xml:space="preserve">cho </w:t>
      </w:r>
      <w:r w:rsidR="00674896" w:rsidRPr="00AA23B1">
        <w:rPr>
          <w:color w:val="000000" w:themeColor="text1"/>
          <w:sz w:val="20"/>
          <w:szCs w:val="20"/>
          <w:lang w:val="en-US"/>
        </w:rPr>
        <w:t xml:space="preserve">lĩnh vực </w:t>
      </w:r>
      <w:r w:rsidR="5B50EB49" w:rsidRPr="00AA23B1">
        <w:rPr>
          <w:color w:val="000000" w:themeColor="text1"/>
          <w:sz w:val="20"/>
          <w:szCs w:val="20"/>
          <w:lang w:val="en-US"/>
        </w:rPr>
        <w:t>y tế</w:t>
      </w:r>
      <w:r w:rsidR="007C3A52" w:rsidRPr="00AA23B1">
        <w:rPr>
          <w:color w:val="000000" w:themeColor="text1"/>
          <w:sz w:val="20"/>
          <w:szCs w:val="20"/>
          <w:lang w:val="en-US"/>
        </w:rPr>
        <w:t xml:space="preserve"> </w:t>
      </w:r>
      <w:r w:rsidR="20BEC00B" w:rsidRPr="00AA23B1">
        <w:rPr>
          <w:color w:val="000000" w:themeColor="text1"/>
          <w:sz w:val="20"/>
          <w:szCs w:val="20"/>
          <w:lang w:val="en-US"/>
        </w:rPr>
        <w:t>thuận lợi hơn trong năm 2025</w:t>
      </w:r>
    </w:p>
    <w:p w14:paraId="4398BD64" w14:textId="482998AF" w:rsidR="1CAB5B7F" w:rsidRPr="00AA23B1" w:rsidRDefault="1CAB5B7F" w:rsidP="16943858">
      <w:pPr>
        <w:spacing w:before="240" w:after="240"/>
        <w:rPr>
          <w:sz w:val="20"/>
          <w:szCs w:val="20"/>
          <w:lang w:val="en-US"/>
        </w:rPr>
      </w:pPr>
      <w:r w:rsidRPr="00AA23B1">
        <w:rPr>
          <w:sz w:val="20"/>
          <w:szCs w:val="20"/>
          <w:lang w:val="en-US"/>
        </w:rPr>
        <w:t>Năm 2025</w:t>
      </w:r>
      <w:r w:rsidR="064CB9F4" w:rsidRPr="00AA23B1">
        <w:rPr>
          <w:sz w:val="20"/>
          <w:szCs w:val="20"/>
          <w:lang w:val="en-US"/>
        </w:rPr>
        <w:t>,</w:t>
      </w:r>
      <w:r w:rsidRPr="00AA23B1">
        <w:rPr>
          <w:sz w:val="20"/>
          <w:szCs w:val="20"/>
          <w:lang w:val="en-US"/>
        </w:rPr>
        <w:t xml:space="preserve"> </w:t>
      </w:r>
      <w:r w:rsidR="7184C787" w:rsidRPr="00AA23B1">
        <w:rPr>
          <w:sz w:val="20"/>
          <w:szCs w:val="20"/>
          <w:lang w:val="en-US"/>
        </w:rPr>
        <w:t>tình trạng t</w:t>
      </w:r>
      <w:r w:rsidRPr="00AA23B1">
        <w:rPr>
          <w:sz w:val="20"/>
          <w:szCs w:val="20"/>
          <w:lang w:val="en-US"/>
        </w:rPr>
        <w:t xml:space="preserve">hiếu hụt sản phẩm, </w:t>
      </w:r>
      <w:r w:rsidR="726BE419" w:rsidRPr="00AA23B1">
        <w:rPr>
          <w:sz w:val="20"/>
          <w:szCs w:val="20"/>
          <w:lang w:val="en-US"/>
        </w:rPr>
        <w:t>rủi ro</w:t>
      </w:r>
      <w:r w:rsidRPr="00AA23B1">
        <w:rPr>
          <w:sz w:val="20"/>
          <w:szCs w:val="20"/>
          <w:lang w:val="en-US"/>
        </w:rPr>
        <w:t xml:space="preserve"> chuỗi cung ứng và </w:t>
      </w:r>
      <w:r w:rsidR="51728135" w:rsidRPr="00AA23B1">
        <w:rPr>
          <w:sz w:val="20"/>
          <w:szCs w:val="20"/>
          <w:lang w:val="en-US"/>
        </w:rPr>
        <w:t xml:space="preserve">những </w:t>
      </w:r>
      <w:r w:rsidRPr="00AA23B1">
        <w:rPr>
          <w:sz w:val="20"/>
          <w:szCs w:val="20"/>
          <w:lang w:val="en-US"/>
        </w:rPr>
        <w:t>chính sách mới đang thúc đẩy</w:t>
      </w:r>
      <w:r w:rsidR="0ABC50EB" w:rsidRPr="00AA23B1">
        <w:rPr>
          <w:sz w:val="20"/>
          <w:szCs w:val="20"/>
          <w:lang w:val="en-US"/>
        </w:rPr>
        <w:t xml:space="preserve"> các hoạt động M&amp;A trong ngành y tế. </w:t>
      </w:r>
      <w:r w:rsidR="1DD16549" w:rsidRPr="00AA23B1">
        <w:rPr>
          <w:sz w:val="20"/>
          <w:szCs w:val="20"/>
          <w:lang w:val="en-US"/>
        </w:rPr>
        <w:t xml:space="preserve">Trong lĩnh vực dược phẩm và khoa học đời sống, </w:t>
      </w:r>
      <w:r w:rsidR="00397BF4" w:rsidRPr="00AA23B1">
        <w:rPr>
          <w:sz w:val="20"/>
          <w:szCs w:val="20"/>
          <w:lang w:val="en-US"/>
        </w:rPr>
        <w:t xml:space="preserve">các thương vụ </w:t>
      </w:r>
      <w:r w:rsidR="000F345F" w:rsidRPr="00AA23B1">
        <w:rPr>
          <w:sz w:val="20"/>
          <w:szCs w:val="20"/>
          <w:lang w:val="en-US"/>
        </w:rPr>
        <w:t xml:space="preserve">chủ yếu </w:t>
      </w:r>
      <w:r w:rsidR="00A17915" w:rsidRPr="00AA23B1">
        <w:rPr>
          <w:sz w:val="20"/>
          <w:szCs w:val="20"/>
          <w:lang w:val="en-US"/>
        </w:rPr>
        <w:t>tập trung vào</w:t>
      </w:r>
      <w:r w:rsidR="00AA23B1">
        <w:rPr>
          <w:sz w:val="20"/>
          <w:szCs w:val="20"/>
          <w:lang w:val="en-US"/>
        </w:rPr>
        <w:t xml:space="preserve"> </w:t>
      </w:r>
      <w:r w:rsidR="1DD16549" w:rsidRPr="00AA23B1">
        <w:rPr>
          <w:sz w:val="20"/>
          <w:szCs w:val="20"/>
          <w:lang w:val="en-US"/>
        </w:rPr>
        <w:t xml:space="preserve">công nghệ sinh học để </w:t>
      </w:r>
      <w:r w:rsidR="6BF45FF2" w:rsidRPr="00AA23B1">
        <w:rPr>
          <w:sz w:val="20"/>
          <w:szCs w:val="20"/>
          <w:lang w:val="en-US"/>
        </w:rPr>
        <w:t xml:space="preserve">đối phó với tình trạng sắp hết hạn độc quyền bằng sáng chế </w:t>
      </w:r>
      <w:r w:rsidR="1DD16549" w:rsidRPr="00AA23B1">
        <w:rPr>
          <w:sz w:val="20"/>
          <w:szCs w:val="20"/>
          <w:lang w:val="en-US"/>
        </w:rPr>
        <w:t xml:space="preserve">và thoái vốn các tài sản không </w:t>
      </w:r>
      <w:r w:rsidR="00527AF1" w:rsidRPr="00AA23B1">
        <w:rPr>
          <w:sz w:val="20"/>
          <w:szCs w:val="20"/>
          <w:lang w:val="en-US"/>
        </w:rPr>
        <w:t>trọng yếu</w:t>
      </w:r>
      <w:r w:rsidR="1DD16549" w:rsidRPr="00AA23B1">
        <w:rPr>
          <w:sz w:val="20"/>
          <w:szCs w:val="20"/>
          <w:lang w:val="en-US"/>
        </w:rPr>
        <w:t xml:space="preserve"> n</w:t>
      </w:r>
      <w:r w:rsidR="7CBDC07C" w:rsidRPr="00AA23B1">
        <w:rPr>
          <w:sz w:val="20"/>
          <w:szCs w:val="20"/>
          <w:lang w:val="en-US"/>
        </w:rPr>
        <w:t>hằm</w:t>
      </w:r>
      <w:r w:rsidR="1DD16549" w:rsidRPr="00AA23B1">
        <w:rPr>
          <w:sz w:val="20"/>
          <w:szCs w:val="20"/>
          <w:lang w:val="en-US"/>
        </w:rPr>
        <w:t xml:space="preserve"> tối ưu hóa danh mục đầu tư.</w:t>
      </w:r>
    </w:p>
    <w:p w14:paraId="3EB3C797" w14:textId="270A02F1" w:rsidR="27C67A5F" w:rsidRPr="00AA23B1" w:rsidRDefault="1CAB5B7F" w:rsidP="16943858">
      <w:pPr>
        <w:spacing w:before="240" w:after="240"/>
        <w:rPr>
          <w:sz w:val="20"/>
          <w:szCs w:val="20"/>
          <w:lang w:val="en-US"/>
        </w:rPr>
      </w:pPr>
      <w:r w:rsidRPr="00AA23B1">
        <w:rPr>
          <w:sz w:val="20"/>
          <w:szCs w:val="20"/>
          <w:lang w:val="en-US"/>
        </w:rPr>
        <w:t xml:space="preserve">Đồng thời, các công ty này cũng đang tái cấu trúc danh mục đầu tư </w:t>
      </w:r>
      <w:r w:rsidR="00D23912" w:rsidRPr="00AA23B1">
        <w:rPr>
          <w:sz w:val="20"/>
          <w:szCs w:val="20"/>
          <w:lang w:val="en-US"/>
        </w:rPr>
        <w:t xml:space="preserve">trong quá trình </w:t>
      </w:r>
      <w:r w:rsidRPr="00AA23B1">
        <w:rPr>
          <w:sz w:val="20"/>
          <w:szCs w:val="20"/>
          <w:lang w:val="en-US"/>
        </w:rPr>
        <w:t>đổi mới. Bên cạnh đó, sự quan tâm của các quỹ đầu tư tư nhân đối với công nghệ y tế</w:t>
      </w:r>
      <w:r w:rsidR="21CA03BF" w:rsidRPr="00AA23B1">
        <w:rPr>
          <w:sz w:val="20"/>
          <w:szCs w:val="20"/>
          <w:lang w:val="en-US"/>
        </w:rPr>
        <w:t xml:space="preserve"> (medtech)</w:t>
      </w:r>
      <w:r w:rsidRPr="00AA23B1">
        <w:rPr>
          <w:sz w:val="20"/>
          <w:szCs w:val="20"/>
          <w:lang w:val="en-US"/>
        </w:rPr>
        <w:t xml:space="preserve"> và sức khỏe kỹ thuật số ngày càng tăng, tạo ra nhiều cơ hội thoái vốn hấp dẫn</w:t>
      </w:r>
      <w:r w:rsidR="4FE7AA87" w:rsidRPr="00AA23B1">
        <w:rPr>
          <w:sz w:val="20"/>
          <w:szCs w:val="20"/>
          <w:lang w:val="en-US"/>
        </w:rPr>
        <w:t xml:space="preserve"> đối với các công ty được </w:t>
      </w:r>
      <w:r w:rsidR="00913478" w:rsidRPr="00AA23B1">
        <w:rPr>
          <w:sz w:val="20"/>
          <w:szCs w:val="20"/>
          <w:lang w:val="en-US"/>
        </w:rPr>
        <w:t>đầu tư</w:t>
      </w:r>
      <w:r w:rsidR="4FE7AA87" w:rsidRPr="00AA23B1">
        <w:rPr>
          <w:sz w:val="20"/>
          <w:szCs w:val="20"/>
          <w:lang w:val="en-US"/>
        </w:rPr>
        <w:t xml:space="preserve"> bởi các </w:t>
      </w:r>
      <w:r w:rsidR="07BEB276" w:rsidRPr="00AA23B1">
        <w:rPr>
          <w:sz w:val="20"/>
          <w:szCs w:val="20"/>
          <w:lang w:val="en-US"/>
        </w:rPr>
        <w:t>q</w:t>
      </w:r>
      <w:r w:rsidR="4FE7AA87" w:rsidRPr="00AA23B1">
        <w:rPr>
          <w:sz w:val="20"/>
          <w:szCs w:val="20"/>
          <w:lang w:val="en-US"/>
        </w:rPr>
        <w:t>ũy đầu tư tư nhân</w:t>
      </w:r>
      <w:r w:rsidRPr="00AA23B1">
        <w:rPr>
          <w:sz w:val="20"/>
          <w:szCs w:val="20"/>
          <w:lang w:val="en-US"/>
        </w:rPr>
        <w:t xml:space="preserve">. </w:t>
      </w:r>
      <w:r w:rsidR="0712BA4D" w:rsidRPr="00AA23B1">
        <w:rPr>
          <w:sz w:val="20"/>
          <w:szCs w:val="20"/>
          <w:lang w:val="en-US"/>
        </w:rPr>
        <w:t>C</w:t>
      </w:r>
      <w:r w:rsidR="24C5263F" w:rsidRPr="00AA23B1">
        <w:rPr>
          <w:sz w:val="20"/>
          <w:szCs w:val="20"/>
          <w:lang w:val="en-US"/>
        </w:rPr>
        <w:t>ác doanh nghiệp chăm sóc sức khỏe bán lẻ, bán thuốc không kê đơn</w:t>
      </w:r>
      <w:r w:rsidR="46E22AF3" w:rsidRPr="00AA23B1">
        <w:rPr>
          <w:sz w:val="20"/>
          <w:szCs w:val="20"/>
          <w:lang w:val="en-US"/>
        </w:rPr>
        <w:t xml:space="preserve"> (OTC)</w:t>
      </w:r>
      <w:r w:rsidR="24C5263F" w:rsidRPr="00AA23B1">
        <w:rPr>
          <w:sz w:val="20"/>
          <w:szCs w:val="20"/>
          <w:lang w:val="en-US"/>
        </w:rPr>
        <w:t xml:space="preserve"> </w:t>
      </w:r>
      <w:r w:rsidR="6531FF7B" w:rsidRPr="00AA23B1">
        <w:rPr>
          <w:sz w:val="20"/>
          <w:szCs w:val="20"/>
          <w:lang w:val="en-US"/>
        </w:rPr>
        <w:t>với xu hướng tách ra thành các pháp nhân độc lập hay thoái vốn</w:t>
      </w:r>
      <w:r w:rsidR="76BE70B7" w:rsidRPr="00AA23B1">
        <w:rPr>
          <w:sz w:val="20"/>
          <w:szCs w:val="20"/>
          <w:lang w:val="en-US"/>
        </w:rPr>
        <w:t xml:space="preserve"> </w:t>
      </w:r>
      <w:r w:rsidRPr="00AA23B1">
        <w:rPr>
          <w:sz w:val="20"/>
          <w:szCs w:val="20"/>
          <w:lang w:val="en-US"/>
        </w:rPr>
        <w:t>cũng đang tích cực tham gia vào cuộc đua M&amp;A để nhanh chóng chuyển đổi mô hình kinh doanh.</w:t>
      </w:r>
    </w:p>
    <w:p w14:paraId="414AB70F" w14:textId="6E44AD91" w:rsidR="19E8C53C" w:rsidRPr="00AA23B1" w:rsidRDefault="19E8C53C" w:rsidP="16943858">
      <w:pPr>
        <w:rPr>
          <w:color w:val="000000" w:themeColor="text1"/>
          <w:sz w:val="20"/>
          <w:szCs w:val="20"/>
        </w:rPr>
      </w:pPr>
      <w:r w:rsidRPr="00AA23B1">
        <w:rPr>
          <w:color w:val="000000" w:themeColor="text1"/>
          <w:sz w:val="20"/>
          <w:szCs w:val="20"/>
        </w:rPr>
        <w:t xml:space="preserve">Năm 2025, thị trường M&amp;A trong lĩnh vực y tế Việt Nam dự kiến sẽ sôi động, chủ yếu do nhu cầu ngày càng cao về dịch vụ y tế chất lượng </w:t>
      </w:r>
      <w:r w:rsidR="0F43D7C4" w:rsidRPr="00AA23B1">
        <w:rPr>
          <w:color w:val="000000" w:themeColor="text1"/>
          <w:sz w:val="20"/>
          <w:szCs w:val="20"/>
        </w:rPr>
        <w:t xml:space="preserve">cao </w:t>
      </w:r>
      <w:r w:rsidRPr="00AA23B1">
        <w:rPr>
          <w:color w:val="000000" w:themeColor="text1"/>
          <w:sz w:val="20"/>
          <w:szCs w:val="20"/>
        </w:rPr>
        <w:t>và sự gia tăng của tầng lớp trung lưu. Các bệnh viện tư nhân và cơ sở y tế chuyên khoa, đặc biệt là trong lĩnh vực nhãn khoa và ung thư, sẽ trở thành tâm điểm của các hoạt động M&amp;A.</w:t>
      </w:r>
    </w:p>
    <w:p w14:paraId="247C0D6A" w14:textId="5369FF41" w:rsidR="16943858" w:rsidRPr="00AA23B1" w:rsidRDefault="16943858" w:rsidP="16943858">
      <w:pPr>
        <w:rPr>
          <w:color w:val="000000" w:themeColor="text1"/>
          <w:sz w:val="20"/>
          <w:szCs w:val="20"/>
          <w:lang w:val="en-US"/>
        </w:rPr>
      </w:pPr>
    </w:p>
    <w:p w14:paraId="243FE899" w14:textId="43DC90CF" w:rsidR="1795A627" w:rsidRPr="00AA23B1" w:rsidRDefault="19E8C53C" w:rsidP="16943858">
      <w:pPr>
        <w:rPr>
          <w:color w:val="000000" w:themeColor="text1"/>
          <w:sz w:val="20"/>
          <w:szCs w:val="20"/>
        </w:rPr>
      </w:pPr>
      <w:r w:rsidRPr="00AA23B1">
        <w:rPr>
          <w:color w:val="000000" w:themeColor="text1"/>
          <w:sz w:val="20"/>
          <w:szCs w:val="20"/>
        </w:rPr>
        <w:t>Lĩnh vực giáo dục tiếp tục tăng trưởng và chuyển đổi</w:t>
      </w:r>
    </w:p>
    <w:p w14:paraId="4DDEB936" w14:textId="04FB8B99" w:rsidR="41F4CAED" w:rsidRPr="00AA23B1" w:rsidRDefault="41F4CAED" w:rsidP="16943858">
      <w:pPr>
        <w:rPr>
          <w:color w:val="000000" w:themeColor="text1"/>
          <w:sz w:val="20"/>
          <w:szCs w:val="20"/>
          <w:lang w:val="en-US"/>
        </w:rPr>
      </w:pPr>
    </w:p>
    <w:p w14:paraId="38E73BD6" w14:textId="7ED33D79" w:rsidR="498A9D6A" w:rsidRPr="00AA23B1" w:rsidRDefault="498A9D6A" w:rsidP="16943858">
      <w:pPr>
        <w:rPr>
          <w:color w:val="000000" w:themeColor="text1"/>
          <w:sz w:val="20"/>
          <w:szCs w:val="20"/>
        </w:rPr>
      </w:pPr>
      <w:r w:rsidRPr="00AA23B1">
        <w:rPr>
          <w:color w:val="000000" w:themeColor="text1"/>
          <w:sz w:val="20"/>
          <w:szCs w:val="20"/>
        </w:rPr>
        <w:t>Trên t</w:t>
      </w:r>
      <w:r w:rsidR="53F814BA" w:rsidRPr="00AA23B1">
        <w:rPr>
          <w:color w:val="000000" w:themeColor="text1"/>
          <w:sz w:val="20"/>
          <w:szCs w:val="20"/>
        </w:rPr>
        <w:t>hế giới</w:t>
      </w:r>
      <w:r w:rsidRPr="00AA23B1">
        <w:rPr>
          <w:color w:val="000000" w:themeColor="text1"/>
          <w:sz w:val="20"/>
          <w:szCs w:val="20"/>
        </w:rPr>
        <w:t xml:space="preserve">, lĩnh vực M&amp;A trong </w:t>
      </w:r>
      <w:r w:rsidR="7CB2C704" w:rsidRPr="00AA23B1">
        <w:rPr>
          <w:color w:val="000000" w:themeColor="text1"/>
          <w:sz w:val="20"/>
          <w:szCs w:val="20"/>
        </w:rPr>
        <w:t xml:space="preserve">ngành </w:t>
      </w:r>
      <w:r w:rsidRPr="00AA23B1">
        <w:rPr>
          <w:color w:val="000000" w:themeColor="text1"/>
          <w:sz w:val="20"/>
          <w:szCs w:val="20"/>
        </w:rPr>
        <w:t xml:space="preserve">giáo dục đang chứng kiến sự tăng trưởng mạnh mẽ, </w:t>
      </w:r>
      <w:r w:rsidR="056C0366" w:rsidRPr="00AA23B1">
        <w:rPr>
          <w:color w:val="000000" w:themeColor="text1"/>
          <w:sz w:val="20"/>
          <w:szCs w:val="20"/>
        </w:rPr>
        <w:t xml:space="preserve">với sự tham gia tích cực của các </w:t>
      </w:r>
      <w:r w:rsidR="5339BAE0" w:rsidRPr="00AA23B1">
        <w:rPr>
          <w:color w:val="000000" w:themeColor="text1"/>
          <w:sz w:val="20"/>
          <w:szCs w:val="20"/>
        </w:rPr>
        <w:t>quỹ đầu tư</w:t>
      </w:r>
      <w:r w:rsidR="056C0366" w:rsidRPr="00AA23B1">
        <w:rPr>
          <w:color w:val="000000" w:themeColor="text1"/>
          <w:sz w:val="20"/>
          <w:szCs w:val="20"/>
        </w:rPr>
        <w:t xml:space="preserve"> tư nhân</w:t>
      </w:r>
      <w:r w:rsidRPr="00AA23B1">
        <w:rPr>
          <w:color w:val="000000" w:themeColor="text1"/>
          <w:sz w:val="20"/>
          <w:szCs w:val="20"/>
        </w:rPr>
        <w:t xml:space="preserve">, chiếm từ 50% đến 70% tổng </w:t>
      </w:r>
      <w:r w:rsidR="4EDDF0CC" w:rsidRPr="00AA23B1">
        <w:rPr>
          <w:color w:val="000000" w:themeColor="text1"/>
          <w:sz w:val="20"/>
          <w:szCs w:val="20"/>
        </w:rPr>
        <w:t>danh mục</w:t>
      </w:r>
      <w:r w:rsidRPr="00AA23B1">
        <w:rPr>
          <w:color w:val="000000" w:themeColor="text1"/>
          <w:sz w:val="20"/>
          <w:szCs w:val="20"/>
        </w:rPr>
        <w:t xml:space="preserve"> đầu tư</w:t>
      </w:r>
      <w:r w:rsidR="559B770E" w:rsidRPr="00AA23B1">
        <w:rPr>
          <w:color w:val="000000" w:themeColor="text1"/>
          <w:sz w:val="20"/>
          <w:szCs w:val="20"/>
        </w:rPr>
        <w:t xml:space="preserve">. </w:t>
      </w:r>
      <w:r w:rsidR="34D89F89" w:rsidRPr="00AA23B1">
        <w:rPr>
          <w:color w:val="000000" w:themeColor="text1"/>
          <w:sz w:val="20"/>
          <w:szCs w:val="20"/>
        </w:rPr>
        <w:t>Công nghệ giáo dục (</w:t>
      </w:r>
      <w:r w:rsidR="3603D189" w:rsidRPr="00AA23B1">
        <w:rPr>
          <w:color w:val="000000" w:themeColor="text1"/>
          <w:sz w:val="20"/>
          <w:szCs w:val="20"/>
        </w:rPr>
        <w:t>EdTech</w:t>
      </w:r>
      <w:r w:rsidR="0536D42C" w:rsidRPr="00AA23B1">
        <w:rPr>
          <w:color w:val="000000" w:themeColor="text1"/>
          <w:sz w:val="20"/>
          <w:szCs w:val="20"/>
        </w:rPr>
        <w:t>)</w:t>
      </w:r>
      <w:r w:rsidR="0F46A9ED" w:rsidRPr="00AA23B1">
        <w:rPr>
          <w:color w:val="000000" w:themeColor="text1"/>
          <w:sz w:val="20"/>
          <w:szCs w:val="20"/>
        </w:rPr>
        <w:t>,</w:t>
      </w:r>
      <w:r w:rsidR="3603D189" w:rsidRPr="00AA23B1">
        <w:rPr>
          <w:color w:val="000000" w:themeColor="text1"/>
          <w:sz w:val="20"/>
          <w:szCs w:val="20"/>
        </w:rPr>
        <w:t xml:space="preserve"> đặc biệt trong lĩnh vực số hóa giáo dục phổ thông và đại học, là tâm điểm thu hút sự quan tâm. Sự phát triển vượt bậc của công nghệ và nhu cầu không ngừng tăng về chất lượng giáo dục đang thúc đẩy</w:t>
      </w:r>
      <w:r w:rsidR="00070FAB" w:rsidRPr="00AA23B1">
        <w:rPr>
          <w:color w:val="000000" w:themeColor="text1"/>
          <w:sz w:val="20"/>
          <w:szCs w:val="20"/>
        </w:rPr>
        <w:t xml:space="preserve"> các</w:t>
      </w:r>
      <w:r w:rsidR="00AA23B1">
        <w:rPr>
          <w:color w:val="000000" w:themeColor="text1"/>
          <w:sz w:val="20"/>
          <w:szCs w:val="20"/>
        </w:rPr>
        <w:t xml:space="preserve"> </w:t>
      </w:r>
      <w:r w:rsidR="2734C63F" w:rsidRPr="00AA23B1">
        <w:rPr>
          <w:color w:val="000000" w:themeColor="text1"/>
          <w:sz w:val="20"/>
          <w:szCs w:val="20"/>
        </w:rPr>
        <w:t>hoạt động M&amp;A</w:t>
      </w:r>
      <w:r w:rsidR="3603D189" w:rsidRPr="00AA23B1">
        <w:rPr>
          <w:color w:val="000000" w:themeColor="text1"/>
          <w:sz w:val="20"/>
          <w:szCs w:val="20"/>
        </w:rPr>
        <w:t xml:space="preserve"> trong lĩnh vực này</w:t>
      </w:r>
      <w:r w:rsidR="009754D1" w:rsidRPr="00AA23B1">
        <w:rPr>
          <w:color w:val="000000" w:themeColor="text1"/>
          <w:sz w:val="20"/>
          <w:szCs w:val="20"/>
        </w:rPr>
        <w:t xml:space="preserve"> tăng trưởng một cách mạnh mẽ</w:t>
      </w:r>
      <w:r w:rsidR="3603D189" w:rsidRPr="00AA23B1">
        <w:rPr>
          <w:color w:val="000000" w:themeColor="text1"/>
          <w:sz w:val="20"/>
          <w:szCs w:val="20"/>
        </w:rPr>
        <w:t>.</w:t>
      </w:r>
    </w:p>
    <w:p w14:paraId="77B525DF" w14:textId="01B1F816" w:rsidR="16943858" w:rsidRPr="00AA23B1" w:rsidRDefault="16943858" w:rsidP="16943858">
      <w:pPr>
        <w:rPr>
          <w:color w:val="000000" w:themeColor="text1"/>
          <w:sz w:val="20"/>
          <w:szCs w:val="20"/>
          <w:lang w:val="en-US"/>
        </w:rPr>
      </w:pPr>
    </w:p>
    <w:p w14:paraId="47F1F73B" w14:textId="1F551570" w:rsidR="03F6E74C" w:rsidRPr="00AA23B1" w:rsidRDefault="03F6E74C" w:rsidP="16943858">
      <w:pPr>
        <w:rPr>
          <w:color w:val="000000" w:themeColor="text1"/>
          <w:sz w:val="20"/>
          <w:szCs w:val="20"/>
        </w:rPr>
      </w:pPr>
      <w:r w:rsidRPr="00AA23B1">
        <w:rPr>
          <w:color w:val="000000" w:themeColor="text1"/>
          <w:sz w:val="20"/>
          <w:szCs w:val="20"/>
        </w:rPr>
        <w:t>Với chính sách khuyến khích đầu tư nước ngoài mạnh mẽ và không hạn chế vốn đầu tư vào các cơ sở giáo dục, thị trường M&amp;A trong lĩnh vực giáo dục tại Việt Nam đang trở nên vô cùng hấp dẫn.</w:t>
      </w:r>
      <w:r w:rsidR="070E0700" w:rsidRPr="00AA23B1">
        <w:rPr>
          <w:color w:val="000000" w:themeColor="text1"/>
          <w:sz w:val="20"/>
          <w:szCs w:val="20"/>
        </w:rPr>
        <w:t xml:space="preserve"> Hoạt động M&amp;A trong năm 2025 </w:t>
      </w:r>
      <w:r w:rsidR="54F7DE94" w:rsidRPr="00AA23B1">
        <w:rPr>
          <w:color w:val="000000" w:themeColor="text1"/>
          <w:sz w:val="20"/>
          <w:szCs w:val="20"/>
        </w:rPr>
        <w:t>dự kiến sẽ sôi động,</w:t>
      </w:r>
      <w:r w:rsidR="070E0700" w:rsidRPr="00AA23B1">
        <w:rPr>
          <w:color w:val="000000" w:themeColor="text1"/>
          <w:sz w:val="20"/>
          <w:szCs w:val="20"/>
        </w:rPr>
        <w:t xml:space="preserve"> đ</w:t>
      </w:r>
      <w:r w:rsidR="55432564" w:rsidRPr="00AA23B1">
        <w:rPr>
          <w:color w:val="000000" w:themeColor="text1"/>
          <w:sz w:val="20"/>
          <w:szCs w:val="20"/>
        </w:rPr>
        <w:t>ư</w:t>
      </w:r>
      <w:r w:rsidR="070E0700" w:rsidRPr="00AA23B1">
        <w:rPr>
          <w:color w:val="000000" w:themeColor="text1"/>
          <w:sz w:val="20"/>
          <w:szCs w:val="20"/>
        </w:rPr>
        <w:t xml:space="preserve">ợc thúc </w:t>
      </w:r>
      <w:r w:rsidR="0C392F14" w:rsidRPr="00AA23B1">
        <w:rPr>
          <w:color w:val="000000" w:themeColor="text1"/>
          <w:sz w:val="20"/>
          <w:szCs w:val="20"/>
        </w:rPr>
        <w:t>đẩy</w:t>
      </w:r>
      <w:r w:rsidR="070E0700" w:rsidRPr="00AA23B1">
        <w:rPr>
          <w:sz w:val="20"/>
          <w:szCs w:val="20"/>
        </w:rPr>
        <w:t xml:space="preserve"> bởi</w:t>
      </w:r>
      <w:r w:rsidR="687F321E" w:rsidRPr="00AA23B1">
        <w:rPr>
          <w:sz w:val="20"/>
          <w:szCs w:val="20"/>
        </w:rPr>
        <w:t xml:space="preserve"> chính sách</w:t>
      </w:r>
      <w:r w:rsidR="070E0700" w:rsidRPr="00AA23B1">
        <w:rPr>
          <w:sz w:val="20"/>
          <w:szCs w:val="20"/>
        </w:rPr>
        <w:t xml:space="preserve"> khuyến khích đầu tư và nhu cầu ngày càng tăng về giáo dục tư nhân</w:t>
      </w:r>
      <w:r w:rsidR="00AA23B1">
        <w:rPr>
          <w:sz w:val="20"/>
          <w:szCs w:val="20"/>
        </w:rPr>
        <w:t xml:space="preserve">. </w:t>
      </w:r>
      <w:r w:rsidR="0FBBDE2A" w:rsidRPr="00AA23B1">
        <w:rPr>
          <w:color w:val="000000" w:themeColor="text1"/>
          <w:sz w:val="20"/>
          <w:szCs w:val="20"/>
        </w:rPr>
        <w:t>Các đối tác chiến lược và đầu tư vào giáo dục đại học và đào tạo nghề sẽ nâng cao chất lượng và cơ sở hạ tầng. Các chính sách hỗ trợ của chính phủ sẽ tạo ra môi trường thuận lợi cho cả nhà đầu tư trong và ngoài nước, tạo ra nhiều cơ hội cho các hoạt động M&amp;A.</w:t>
      </w:r>
    </w:p>
    <w:p w14:paraId="4B2B23A7" w14:textId="3BE5B48C" w:rsidR="16943858" w:rsidRPr="00AA23B1" w:rsidRDefault="16943858" w:rsidP="16943858">
      <w:pPr>
        <w:rPr>
          <w:color w:val="000000" w:themeColor="text1"/>
          <w:sz w:val="20"/>
          <w:szCs w:val="20"/>
          <w:lang w:val="en-US"/>
        </w:rPr>
      </w:pPr>
    </w:p>
    <w:p w14:paraId="7FD8D237" w14:textId="711CD96A" w:rsidR="0AEF731B" w:rsidRPr="00AA23B1" w:rsidRDefault="0AEF731B" w:rsidP="42CE49F3">
      <w:pPr>
        <w:rPr>
          <w:color w:val="000000" w:themeColor="text1"/>
          <w:sz w:val="20"/>
          <w:szCs w:val="20"/>
        </w:rPr>
      </w:pPr>
      <w:r w:rsidRPr="00AA23B1">
        <w:rPr>
          <w:color w:val="000000" w:themeColor="text1"/>
          <w:sz w:val="20"/>
          <w:szCs w:val="20"/>
          <w:lang w:val="en-US"/>
        </w:rPr>
        <w:t xml:space="preserve">Thách thức </w:t>
      </w:r>
      <w:r w:rsidR="3CCC6348" w:rsidRPr="00AA23B1">
        <w:rPr>
          <w:color w:val="000000" w:themeColor="text1"/>
          <w:sz w:val="20"/>
          <w:szCs w:val="20"/>
          <w:lang w:val="en-US"/>
        </w:rPr>
        <w:t xml:space="preserve">và cơ hội </w:t>
      </w:r>
      <w:r w:rsidRPr="00AA23B1">
        <w:rPr>
          <w:color w:val="000000" w:themeColor="text1"/>
          <w:sz w:val="20"/>
          <w:szCs w:val="20"/>
          <w:lang w:val="en-US"/>
        </w:rPr>
        <w:t xml:space="preserve">đối với </w:t>
      </w:r>
      <w:r w:rsidR="76429C8E" w:rsidRPr="00AA23B1">
        <w:rPr>
          <w:color w:val="000000" w:themeColor="text1"/>
          <w:sz w:val="20"/>
          <w:szCs w:val="20"/>
          <w:lang w:val="en-US"/>
        </w:rPr>
        <w:t xml:space="preserve">hoạt động </w:t>
      </w:r>
      <w:r w:rsidRPr="00AA23B1">
        <w:rPr>
          <w:color w:val="000000" w:themeColor="text1"/>
          <w:sz w:val="20"/>
          <w:szCs w:val="20"/>
          <w:lang w:val="en-US"/>
        </w:rPr>
        <w:t>M&amp;A</w:t>
      </w:r>
    </w:p>
    <w:p w14:paraId="09F65500" w14:textId="3AB548F8" w:rsidR="42CE49F3" w:rsidRPr="00AA23B1" w:rsidRDefault="42CE49F3" w:rsidP="42CE49F3">
      <w:pPr>
        <w:rPr>
          <w:sz w:val="20"/>
          <w:szCs w:val="20"/>
          <w:lang w:val="en-US"/>
        </w:rPr>
      </w:pPr>
    </w:p>
    <w:p w14:paraId="6452F901" w14:textId="16234DF4" w:rsidR="0AEF731B" w:rsidRPr="00AA23B1" w:rsidRDefault="0AEF731B" w:rsidP="16943858">
      <w:pPr>
        <w:rPr>
          <w:sz w:val="20"/>
          <w:szCs w:val="20"/>
          <w:lang w:val="en-US"/>
        </w:rPr>
      </w:pPr>
      <w:r w:rsidRPr="00AA23B1">
        <w:rPr>
          <w:sz w:val="20"/>
          <w:szCs w:val="20"/>
          <w:lang w:val="en-US"/>
        </w:rPr>
        <w:t xml:space="preserve">Ảnh hưởng địa chính trị và "hiệu ứng Trump": Các nhà hoạch định giao dịch và </w:t>
      </w:r>
      <w:r w:rsidR="3A72FAFA" w:rsidRPr="00AA23B1">
        <w:rPr>
          <w:sz w:val="20"/>
          <w:szCs w:val="20"/>
          <w:lang w:val="en-US"/>
        </w:rPr>
        <w:t xml:space="preserve">nghiên cứu </w:t>
      </w:r>
      <w:r w:rsidRPr="00AA23B1">
        <w:rPr>
          <w:sz w:val="20"/>
          <w:szCs w:val="20"/>
          <w:lang w:val="en-US"/>
        </w:rPr>
        <w:t>thị trường vẫn đang tiếp tục đánh giá tác động của các cuộc bầu cử diễn ra tại nhiều quốc gia trong năm 2024 và những thay đổi chính sách tiếp theo, đặc biệt là ảnh hưởng của chính quyền Trump mới tại Mỹ. Báo cáo triển vọng M&amp;A toàn cầu đã phân tích tác động khả dĩ của một số thay đổi chính sách và sắc lệnh hành pháp của Mỹ đối với từng lĩnh vực, bao gồm nhập cư, thuế, thuế quan, bãi bỏ quy định và nhiều vấn đề khác. Môi trường địa chính trị rộng lớn hơn cũng được phân tích sâu hơn trong từng góc nhìn ngành công nghiệp</w:t>
      </w:r>
      <w:r w:rsidR="39A69789" w:rsidRPr="00AA23B1">
        <w:rPr>
          <w:sz w:val="20"/>
          <w:szCs w:val="20"/>
          <w:lang w:val="en-US"/>
        </w:rPr>
        <w:t xml:space="preserve">. </w:t>
      </w:r>
    </w:p>
    <w:p w14:paraId="069DED8A" w14:textId="2B2E8A44" w:rsidR="0AEF731B" w:rsidRPr="00AA23B1" w:rsidRDefault="0AEF731B" w:rsidP="42CE49F3">
      <w:pPr>
        <w:spacing w:before="240" w:after="240"/>
        <w:rPr>
          <w:sz w:val="20"/>
          <w:szCs w:val="20"/>
        </w:rPr>
      </w:pPr>
      <w:r w:rsidRPr="00AA23B1">
        <w:rPr>
          <w:sz w:val="20"/>
          <w:szCs w:val="20"/>
          <w:lang w:val="en-US"/>
        </w:rPr>
        <w:t xml:space="preserve">Lãi suất dài hạn: Việc cắt giảm lãi suất tại nhiều quốc gia trong nửa cuối năm 2024 đã hỗ trợ đà tăng trưởng mới của M&amp;A. Tuy nhiên, lãi suất dài hạn đang tăng trở lại, và thời điểm cũng như mức độ cắt </w:t>
      </w:r>
      <w:r w:rsidRPr="00AA23B1">
        <w:rPr>
          <w:sz w:val="20"/>
          <w:szCs w:val="20"/>
          <w:lang w:val="en-US"/>
        </w:rPr>
        <w:lastRenderedPageBreak/>
        <w:t xml:space="preserve">giảm lãi suất trong tương lai sẽ phụ thuộc vào sức mạnh của nền kinh tế </w:t>
      </w:r>
      <w:r w:rsidR="09012199" w:rsidRPr="00AA23B1">
        <w:rPr>
          <w:sz w:val="20"/>
          <w:szCs w:val="20"/>
          <w:lang w:val="en-US"/>
        </w:rPr>
        <w:t>mỗi quốc gia</w:t>
      </w:r>
      <w:r w:rsidRPr="00AA23B1">
        <w:rPr>
          <w:sz w:val="20"/>
          <w:szCs w:val="20"/>
          <w:lang w:val="en-US"/>
        </w:rPr>
        <w:t xml:space="preserve"> và liệu lạm phát có tiếp tục hạ nhiệt hay không, dẫn đến sự không chắc chắn đối với các nhà hoạch định giao dịch.</w:t>
      </w:r>
    </w:p>
    <w:p w14:paraId="081D328F" w14:textId="0EDD09CC" w:rsidR="1795A627" w:rsidRPr="00AA23B1" w:rsidRDefault="0AEF731B" w:rsidP="16943858">
      <w:pPr>
        <w:spacing w:before="240" w:after="240"/>
        <w:rPr>
          <w:sz w:val="20"/>
          <w:szCs w:val="20"/>
        </w:rPr>
      </w:pPr>
      <w:r w:rsidRPr="00AA23B1">
        <w:rPr>
          <w:sz w:val="20"/>
          <w:szCs w:val="20"/>
          <w:lang w:val="en-US"/>
        </w:rPr>
        <w:t>Đ</w:t>
      </w:r>
      <w:r w:rsidR="6EFE1FD0" w:rsidRPr="00AA23B1">
        <w:rPr>
          <w:sz w:val="20"/>
          <w:szCs w:val="20"/>
          <w:lang w:val="en-US"/>
        </w:rPr>
        <w:t>ịnh giá</w:t>
      </w:r>
      <w:r w:rsidRPr="00AA23B1">
        <w:rPr>
          <w:sz w:val="20"/>
          <w:szCs w:val="20"/>
          <w:lang w:val="en-US"/>
        </w:rPr>
        <w:t xml:space="preserve"> cao: Vào giữa tháng 1 năm 2025, tỷ lệ giá trên thu nhập</w:t>
      </w:r>
      <w:r w:rsidR="00A17915" w:rsidRPr="00AA23B1">
        <w:rPr>
          <w:sz w:val="20"/>
          <w:szCs w:val="20"/>
          <w:lang w:val="en-US"/>
        </w:rPr>
        <w:t xml:space="preserve"> (P/E)</w:t>
      </w:r>
      <w:r w:rsidRPr="00AA23B1">
        <w:rPr>
          <w:sz w:val="20"/>
          <w:szCs w:val="20"/>
          <w:lang w:val="en-US"/>
        </w:rPr>
        <w:t xml:space="preserve"> dự </w:t>
      </w:r>
      <w:r w:rsidR="00A17915" w:rsidRPr="00AA23B1">
        <w:rPr>
          <w:sz w:val="20"/>
          <w:szCs w:val="20"/>
          <w:lang w:val="en-US"/>
        </w:rPr>
        <w:t>kiến</w:t>
      </w:r>
      <w:r w:rsidRPr="00AA23B1">
        <w:rPr>
          <w:sz w:val="20"/>
          <w:szCs w:val="20"/>
          <w:lang w:val="en-US"/>
        </w:rPr>
        <w:t xml:space="preserve"> đối với cổ phiếu Mỹ (dựa trên S&amp;P 500) là 22,87, so với 13,67 đối với cổ phiếu quốc tế phi Mỹ (dựa trên S&amp;P International 700). Đ</w:t>
      </w:r>
      <w:r w:rsidR="2DC59B91" w:rsidRPr="00AA23B1">
        <w:rPr>
          <w:sz w:val="20"/>
          <w:szCs w:val="20"/>
          <w:lang w:val="en-US"/>
        </w:rPr>
        <w:t>ịnh</w:t>
      </w:r>
      <w:r w:rsidRPr="00AA23B1">
        <w:rPr>
          <w:sz w:val="20"/>
          <w:szCs w:val="20"/>
          <w:lang w:val="en-US"/>
        </w:rPr>
        <w:t xml:space="preserve"> giá thấp hơn ở một số quốc gia và đồng đô la Mỹ mạnh có thể dẫn đến nhiều giao dịch xuyên biên giới hơn.</w:t>
      </w:r>
    </w:p>
    <w:p w14:paraId="14C6C191" w14:textId="398FB8DA" w:rsidR="5A290EE1" w:rsidRPr="00AA23B1" w:rsidRDefault="5A290EE1" w:rsidP="16943858">
      <w:pPr>
        <w:spacing w:before="240" w:after="240"/>
        <w:rPr>
          <w:sz w:val="20"/>
          <w:szCs w:val="20"/>
          <w:lang w:val="en-US"/>
        </w:rPr>
      </w:pPr>
      <w:r w:rsidRPr="00AA23B1">
        <w:rPr>
          <w:sz w:val="20"/>
          <w:szCs w:val="20"/>
          <w:lang w:val="en-US"/>
        </w:rPr>
        <w:t xml:space="preserve">Những kỳ vọng càng tăng trong các thương vụ </w:t>
      </w:r>
    </w:p>
    <w:p w14:paraId="787226B8" w14:textId="06019133" w:rsidR="6464A09D" w:rsidRPr="00AA23B1" w:rsidRDefault="6464A09D" w:rsidP="16943858">
      <w:pPr>
        <w:spacing w:before="240" w:after="240"/>
        <w:rPr>
          <w:sz w:val="20"/>
          <w:szCs w:val="20"/>
          <w:lang w:val="en-US"/>
        </w:rPr>
      </w:pPr>
      <w:r w:rsidRPr="00AA23B1">
        <w:rPr>
          <w:sz w:val="20"/>
          <w:szCs w:val="20"/>
          <w:lang w:val="en-US"/>
        </w:rPr>
        <w:t>Tập trung vào tăng trưởng và chuyển đổi kinh doanh: 53% CEO "</w:t>
      </w:r>
      <w:r w:rsidR="6610CC08" w:rsidRPr="00AA23B1">
        <w:rPr>
          <w:sz w:val="20"/>
          <w:szCs w:val="20"/>
          <w:lang w:val="en-US"/>
        </w:rPr>
        <w:t>hoàn toàn</w:t>
      </w:r>
      <w:r w:rsidRPr="00AA23B1">
        <w:rPr>
          <w:sz w:val="20"/>
          <w:szCs w:val="20"/>
          <w:lang w:val="en-US"/>
        </w:rPr>
        <w:t>" hoặc "rất tin tưởng" vào triển vọng tăng trưởng của công ty trong ba năm tới (Nguồn: Khảo sát CEO Toàn cầu thường niên lần thứ 28 của PwC), cho thấy họ kỳ vọng các</w:t>
      </w:r>
      <w:r w:rsidR="79095A98" w:rsidRPr="00AA23B1">
        <w:rPr>
          <w:sz w:val="20"/>
          <w:szCs w:val="20"/>
          <w:lang w:val="en-US"/>
        </w:rPr>
        <w:t xml:space="preserve"> kế hoạch</w:t>
      </w:r>
      <w:r w:rsidRPr="00AA23B1">
        <w:rPr>
          <w:sz w:val="20"/>
          <w:szCs w:val="20"/>
          <w:lang w:val="en-US"/>
        </w:rPr>
        <w:t xml:space="preserve"> hành động hiện tại hoặc trong tương lai sẽ tăng doanh thu của công ty. Ngoài việc mua lại để thúc đẩy tăng trưởng, chúng tôi dự kiến việc thoái vốn, bao gồm cả việc tách </w:t>
      </w:r>
      <w:r w:rsidR="33E0233D" w:rsidRPr="00AA23B1">
        <w:rPr>
          <w:sz w:val="20"/>
          <w:szCs w:val="20"/>
          <w:lang w:val="en-US"/>
        </w:rPr>
        <w:t xml:space="preserve">khỏi </w:t>
      </w:r>
      <w:r w:rsidRPr="00AA23B1">
        <w:rPr>
          <w:sz w:val="20"/>
          <w:szCs w:val="20"/>
          <w:lang w:val="en-US"/>
        </w:rPr>
        <w:t>công ty lớn, sẽ thúc đẩy quá trình chuyển đổi kinh doanh.</w:t>
      </w:r>
    </w:p>
    <w:p w14:paraId="144EC2D6" w14:textId="709C0E3C" w:rsidR="6464A09D" w:rsidRPr="00AA23B1" w:rsidRDefault="6464A09D" w:rsidP="42CE49F3">
      <w:pPr>
        <w:spacing w:before="240" w:after="240"/>
        <w:rPr>
          <w:sz w:val="20"/>
          <w:szCs w:val="20"/>
        </w:rPr>
      </w:pPr>
      <w:r w:rsidRPr="00AA23B1">
        <w:rPr>
          <w:sz w:val="20"/>
          <w:szCs w:val="20"/>
          <w:lang w:val="en-US"/>
        </w:rPr>
        <w:t>Trí tuệ nhân tạo (AI) đang đóng vai trò xúc tác cho sự thay đổi, thu hút đầu tư đáng kể: Nhu cầu về AI đã thúc đẩy đáng kể đầu tư vào cơ sở hạ tầng kỹ thuật số. Trong năm năm tới, chi tiêu vốn có thể đạt 2 nghìn tỷ đô la cho việc xây dựng các trung tâm dữ liệu mới. Ngoài ra, nhu cầu năng lượng ngày càng tăng để hỗ trợ AI đang thúc đẩy đầu tư vào sản xuất điện.</w:t>
      </w:r>
    </w:p>
    <w:p w14:paraId="13A77DFE" w14:textId="70C82624" w:rsidR="1795A627" w:rsidRPr="00AA23B1" w:rsidRDefault="6464A09D" w:rsidP="16943858">
      <w:pPr>
        <w:spacing w:before="240" w:after="240"/>
        <w:rPr>
          <w:sz w:val="20"/>
          <w:szCs w:val="20"/>
          <w:lang w:val="en-US"/>
        </w:rPr>
      </w:pPr>
      <w:r w:rsidRPr="00AA23B1">
        <w:rPr>
          <w:sz w:val="20"/>
          <w:szCs w:val="20"/>
          <w:lang w:val="en-US"/>
        </w:rPr>
        <w:t>T</w:t>
      </w:r>
      <w:r w:rsidR="070C3B20" w:rsidRPr="00AA23B1">
        <w:rPr>
          <w:sz w:val="20"/>
          <w:szCs w:val="20"/>
          <w:lang w:val="en-US"/>
        </w:rPr>
        <w:t>ăng cường</w:t>
      </w:r>
      <w:r w:rsidRPr="00AA23B1">
        <w:rPr>
          <w:sz w:val="20"/>
          <w:szCs w:val="20"/>
          <w:lang w:val="en-US"/>
        </w:rPr>
        <w:t xml:space="preserve"> thoái vốn của vốn </w:t>
      </w:r>
      <w:r w:rsidR="549AF933" w:rsidRPr="00AA23B1">
        <w:rPr>
          <w:sz w:val="20"/>
          <w:szCs w:val="20"/>
          <w:lang w:val="en-US"/>
        </w:rPr>
        <w:t>của quỹ đầu tư</w:t>
      </w:r>
      <w:r w:rsidRPr="00AA23B1">
        <w:rPr>
          <w:sz w:val="20"/>
          <w:szCs w:val="20"/>
          <w:lang w:val="en-US"/>
        </w:rPr>
        <w:t xml:space="preserve"> tư nhân (PE): Gần một nửa trong số </w:t>
      </w:r>
      <w:r w:rsidR="474983A1" w:rsidRPr="00AA23B1">
        <w:rPr>
          <w:sz w:val="20"/>
          <w:szCs w:val="20"/>
          <w:lang w:val="en-US"/>
        </w:rPr>
        <w:t>2</w:t>
      </w:r>
      <w:r w:rsidRPr="00AA23B1">
        <w:rPr>
          <w:sz w:val="20"/>
          <w:szCs w:val="20"/>
          <w:lang w:val="en-US"/>
        </w:rPr>
        <w:t>9.000 công ty danh mục trên toàn thế giới đã tồn tại trên sổ sách trong hơn bốn năm. Áp lực của nhà đầu tư đối với các quỹ PE để hoàn trả vốn đang tăng lên.</w:t>
      </w:r>
    </w:p>
    <w:p w14:paraId="1C591DF7" w14:textId="3176D638" w:rsidR="16192CDF" w:rsidRPr="00AA23B1" w:rsidRDefault="16192CDF" w:rsidP="16943858">
      <w:pPr>
        <w:spacing w:after="120"/>
        <w:rPr>
          <w:color w:val="000000" w:themeColor="text1"/>
          <w:sz w:val="20"/>
          <w:szCs w:val="20"/>
        </w:rPr>
      </w:pPr>
      <w:r w:rsidRPr="00AA23B1">
        <w:rPr>
          <w:color w:val="000000" w:themeColor="text1"/>
          <w:sz w:val="20"/>
          <w:szCs w:val="20"/>
        </w:rPr>
        <w:t xml:space="preserve">Con đường phía trước </w:t>
      </w:r>
      <w:r w:rsidR="7639FA4A" w:rsidRPr="00AA23B1">
        <w:rPr>
          <w:color w:val="000000" w:themeColor="text1"/>
          <w:sz w:val="20"/>
          <w:szCs w:val="20"/>
        </w:rPr>
        <w:t>cho các nhà đầu tư</w:t>
      </w:r>
    </w:p>
    <w:p w14:paraId="11F8407B" w14:textId="1D6C09CA" w:rsidR="0677D26D" w:rsidRPr="00AA23B1" w:rsidRDefault="0677D26D" w:rsidP="16943858">
      <w:pPr>
        <w:rPr>
          <w:sz w:val="20"/>
          <w:szCs w:val="20"/>
          <w:lang w:val="en-US"/>
        </w:rPr>
      </w:pPr>
      <w:r w:rsidRPr="00AA23B1">
        <w:rPr>
          <w:sz w:val="20"/>
          <w:szCs w:val="20"/>
          <w:lang w:val="en-US"/>
        </w:rPr>
        <w:t>Trong một môi trường kinh doanh đầy biến động,</w:t>
      </w:r>
      <w:r w:rsidR="4FEC4AFE" w:rsidRPr="00AA23B1">
        <w:rPr>
          <w:sz w:val="20"/>
          <w:szCs w:val="20"/>
          <w:lang w:val="en-US"/>
        </w:rPr>
        <w:t xml:space="preserve"> c</w:t>
      </w:r>
      <w:r w:rsidRPr="00AA23B1">
        <w:rPr>
          <w:sz w:val="20"/>
          <w:szCs w:val="20"/>
          <w:lang w:val="en-US"/>
        </w:rPr>
        <w:t xml:space="preserve">ác </w:t>
      </w:r>
      <w:r w:rsidR="74070690" w:rsidRPr="00AA23B1">
        <w:rPr>
          <w:sz w:val="20"/>
          <w:szCs w:val="20"/>
          <w:lang w:val="en-US"/>
        </w:rPr>
        <w:t>nhà đầu tư trên thị trường</w:t>
      </w:r>
      <w:r w:rsidRPr="00AA23B1">
        <w:rPr>
          <w:sz w:val="20"/>
          <w:szCs w:val="20"/>
          <w:lang w:val="en-US"/>
        </w:rPr>
        <w:t xml:space="preserve"> cần trang bị đầy đủ kiến thức và kỹ năng để giải quyết những vấn đề phức tạp, bao gồm cả tác động của trí tuệ nhân tạo, áp lực </w:t>
      </w:r>
      <w:r w:rsidR="00362FE2" w:rsidRPr="00AA23B1">
        <w:rPr>
          <w:sz w:val="20"/>
          <w:szCs w:val="20"/>
          <w:lang w:val="en-US"/>
        </w:rPr>
        <w:t xml:space="preserve">về lợi suất đầu tư </w:t>
      </w:r>
      <w:r w:rsidRPr="00AA23B1">
        <w:rPr>
          <w:sz w:val="20"/>
          <w:szCs w:val="20"/>
          <w:lang w:val="en-US"/>
        </w:rPr>
        <w:t xml:space="preserve">trong thị trường có định giá cao và tăng trưởng chậm, cũng như </w:t>
      </w:r>
      <w:r w:rsidR="5EE2F380" w:rsidRPr="00AA23B1">
        <w:rPr>
          <w:sz w:val="20"/>
          <w:szCs w:val="20"/>
          <w:lang w:val="en-US"/>
        </w:rPr>
        <w:t>c</w:t>
      </w:r>
      <w:r w:rsidR="7595BEDE" w:rsidRPr="00AA23B1">
        <w:rPr>
          <w:sz w:val="20"/>
          <w:szCs w:val="20"/>
          <w:lang w:val="en-US"/>
        </w:rPr>
        <w:t>ân nhắc</w:t>
      </w:r>
      <w:r w:rsidR="5EE2F380" w:rsidRPr="00AA23B1">
        <w:rPr>
          <w:sz w:val="20"/>
          <w:szCs w:val="20"/>
          <w:lang w:val="en-US"/>
        </w:rPr>
        <w:t xml:space="preserve"> </w:t>
      </w:r>
      <w:r w:rsidR="42659CFC" w:rsidRPr="00AA23B1">
        <w:rPr>
          <w:sz w:val="20"/>
          <w:szCs w:val="20"/>
          <w:lang w:val="en-US"/>
        </w:rPr>
        <w:t xml:space="preserve">ảnh hưởng </w:t>
      </w:r>
      <w:r w:rsidRPr="00AA23B1">
        <w:rPr>
          <w:sz w:val="20"/>
          <w:szCs w:val="20"/>
          <w:lang w:val="en-US"/>
        </w:rPr>
        <w:t>các yếu tố địa chính trị phức tạp</w:t>
      </w:r>
      <w:r w:rsidR="692F1EEB" w:rsidRPr="00AA23B1">
        <w:rPr>
          <w:sz w:val="20"/>
          <w:szCs w:val="20"/>
          <w:lang w:val="en-US"/>
        </w:rPr>
        <w:t xml:space="preserve"> </w:t>
      </w:r>
      <w:r w:rsidR="45AD9CFE" w:rsidRPr="00AA23B1">
        <w:rPr>
          <w:sz w:val="20"/>
          <w:szCs w:val="20"/>
          <w:lang w:val="en-US"/>
        </w:rPr>
        <w:t xml:space="preserve">tới các thương vụ. </w:t>
      </w:r>
    </w:p>
    <w:p w14:paraId="0C329CCC" w14:textId="69204021" w:rsidR="16943858" w:rsidRPr="00AA23B1" w:rsidRDefault="16943858" w:rsidP="16943858">
      <w:pPr>
        <w:rPr>
          <w:color w:val="000000" w:themeColor="text1"/>
          <w:sz w:val="20"/>
          <w:szCs w:val="20"/>
          <w:lang w:val="en-US"/>
        </w:rPr>
      </w:pPr>
    </w:p>
    <w:p w14:paraId="1C24F4E4" w14:textId="354BA146" w:rsidR="7A17F01C" w:rsidRPr="00AA23B1" w:rsidRDefault="7A17F01C" w:rsidP="16943858">
      <w:pPr>
        <w:rPr>
          <w:color w:val="000000" w:themeColor="text1"/>
          <w:sz w:val="20"/>
          <w:szCs w:val="20"/>
          <w:lang w:val="en-US"/>
        </w:rPr>
      </w:pPr>
      <w:r w:rsidRPr="00AA23B1">
        <w:rPr>
          <w:color w:val="000000" w:themeColor="text1"/>
          <w:sz w:val="20"/>
          <w:szCs w:val="20"/>
          <w:lang w:val="en-US"/>
        </w:rPr>
        <w:t xml:space="preserve">Ông Ong Tiong Hooi, Lãnh đạo Dịch vụ Tư vấn </w:t>
      </w:r>
      <w:r w:rsidR="00273C02" w:rsidRPr="00AA23B1">
        <w:rPr>
          <w:color w:val="000000" w:themeColor="text1"/>
          <w:sz w:val="20"/>
          <w:szCs w:val="20"/>
          <w:lang w:val="en-US"/>
        </w:rPr>
        <w:t>thương vụ</w:t>
      </w:r>
      <w:r w:rsidRPr="00AA23B1">
        <w:rPr>
          <w:color w:val="000000" w:themeColor="text1"/>
          <w:sz w:val="20"/>
          <w:szCs w:val="20"/>
          <w:lang w:val="en-US"/>
        </w:rPr>
        <w:t>,</w:t>
      </w:r>
      <w:r w:rsidR="18934E9F" w:rsidRPr="00AA23B1">
        <w:rPr>
          <w:color w:val="000000" w:themeColor="text1"/>
          <w:sz w:val="20"/>
          <w:szCs w:val="20"/>
          <w:lang w:val="en-US"/>
        </w:rPr>
        <w:t xml:space="preserve"> PwC Việt Nam</w:t>
      </w:r>
      <w:r w:rsidRPr="00AA23B1">
        <w:rPr>
          <w:color w:val="000000" w:themeColor="text1"/>
          <w:sz w:val="20"/>
          <w:szCs w:val="20"/>
          <w:lang w:val="en-US"/>
        </w:rPr>
        <w:t xml:space="preserve"> chia sẻ</w:t>
      </w:r>
      <w:r w:rsidR="76DAE7EC" w:rsidRPr="00AA23B1">
        <w:rPr>
          <w:color w:val="000000" w:themeColor="text1"/>
          <w:sz w:val="20"/>
          <w:szCs w:val="20"/>
          <w:lang w:val="en-US"/>
        </w:rPr>
        <w:t>:</w:t>
      </w:r>
      <w:r w:rsidRPr="00AA23B1">
        <w:rPr>
          <w:color w:val="000000" w:themeColor="text1"/>
          <w:sz w:val="20"/>
          <w:szCs w:val="20"/>
          <w:lang w:val="en-US"/>
        </w:rPr>
        <w:t xml:space="preserve"> “</w:t>
      </w:r>
      <w:r w:rsidR="4FC44CE2" w:rsidRPr="00AA23B1">
        <w:rPr>
          <w:color w:val="000000" w:themeColor="text1"/>
          <w:sz w:val="20"/>
          <w:szCs w:val="20"/>
          <w:lang w:val="en-US"/>
        </w:rPr>
        <w:t xml:space="preserve">Bước vào năm 2025, </w:t>
      </w:r>
      <w:r w:rsidR="6F0275EE" w:rsidRPr="00AA23B1">
        <w:rPr>
          <w:color w:val="000000" w:themeColor="text1"/>
          <w:sz w:val="20"/>
          <w:szCs w:val="20"/>
          <w:lang w:val="en-US"/>
        </w:rPr>
        <w:t>hoạt động</w:t>
      </w:r>
      <w:r w:rsidR="4FC44CE2" w:rsidRPr="00AA23B1">
        <w:rPr>
          <w:color w:val="000000" w:themeColor="text1"/>
          <w:sz w:val="20"/>
          <w:szCs w:val="20"/>
          <w:lang w:val="en-US"/>
        </w:rPr>
        <w:t xml:space="preserve"> M&amp;A toàn cầu đang trên đà phục hồi mạnh mẽ, được thúc đẩy bởi </w:t>
      </w:r>
      <w:r w:rsidR="69F97480" w:rsidRPr="00AA23B1">
        <w:rPr>
          <w:color w:val="000000" w:themeColor="text1"/>
          <w:sz w:val="20"/>
          <w:szCs w:val="20"/>
          <w:lang w:val="en-US"/>
        </w:rPr>
        <w:t xml:space="preserve">những </w:t>
      </w:r>
      <w:r w:rsidR="42EF4379" w:rsidRPr="00AA23B1">
        <w:rPr>
          <w:color w:val="000000" w:themeColor="text1"/>
          <w:sz w:val="20"/>
          <w:szCs w:val="20"/>
          <w:lang w:val="en-US"/>
        </w:rPr>
        <w:t>tín</w:t>
      </w:r>
      <w:r w:rsidR="69F97480" w:rsidRPr="00AA23B1">
        <w:rPr>
          <w:color w:val="000000" w:themeColor="text1"/>
          <w:sz w:val="20"/>
          <w:szCs w:val="20"/>
          <w:lang w:val="en-US"/>
        </w:rPr>
        <w:t xml:space="preserve"> hiệu cải thiện của nề</w:t>
      </w:r>
      <w:r w:rsidR="619B35A2" w:rsidRPr="00AA23B1">
        <w:rPr>
          <w:color w:val="000000" w:themeColor="text1"/>
          <w:sz w:val="20"/>
          <w:szCs w:val="20"/>
          <w:lang w:val="en-US"/>
        </w:rPr>
        <w:t>n</w:t>
      </w:r>
      <w:r w:rsidR="4FC44CE2" w:rsidRPr="00AA23B1">
        <w:rPr>
          <w:color w:val="000000" w:themeColor="text1"/>
          <w:sz w:val="20"/>
          <w:szCs w:val="20"/>
          <w:lang w:val="en-US"/>
        </w:rPr>
        <w:t xml:space="preserve"> kinh tế và các thương vụ mua bán chiến lược. Xu hướng này cũng được phản ánh tại Việt Nam, nơi chúng tôi chứng kiến sự gia tăng hoạt động</w:t>
      </w:r>
      <w:r w:rsidR="512BA0C5" w:rsidRPr="00AA23B1">
        <w:rPr>
          <w:color w:val="000000" w:themeColor="text1"/>
          <w:sz w:val="20"/>
          <w:szCs w:val="20"/>
          <w:lang w:val="en-US"/>
        </w:rPr>
        <w:t xml:space="preserve"> thương vụ</w:t>
      </w:r>
      <w:r w:rsidR="4FC44CE2" w:rsidRPr="00AA23B1">
        <w:rPr>
          <w:color w:val="000000" w:themeColor="text1"/>
          <w:sz w:val="20"/>
          <w:szCs w:val="20"/>
          <w:lang w:val="en-US"/>
        </w:rPr>
        <w:t xml:space="preserve"> trên nhiều lĩnh vực khác nhau. </w:t>
      </w:r>
      <w:r w:rsidR="51325499" w:rsidRPr="00AA23B1">
        <w:rPr>
          <w:color w:val="000000" w:themeColor="text1"/>
          <w:sz w:val="20"/>
          <w:szCs w:val="20"/>
          <w:lang w:val="en-US"/>
        </w:rPr>
        <w:t>Các doanh nghiệp nội địa đang thể hiện vai trò chủ động, dẫn đầu</w:t>
      </w:r>
      <w:r w:rsidR="003B3C1B" w:rsidRPr="00AA23B1">
        <w:rPr>
          <w:color w:val="000000" w:themeColor="text1"/>
          <w:sz w:val="20"/>
          <w:szCs w:val="20"/>
          <w:lang w:val="en-US"/>
        </w:rPr>
        <w:t xml:space="preserve"> trong</w:t>
      </w:r>
      <w:r w:rsidR="51325499" w:rsidRPr="00AA23B1">
        <w:rPr>
          <w:color w:val="000000" w:themeColor="text1"/>
          <w:sz w:val="20"/>
          <w:szCs w:val="20"/>
          <w:lang w:val="en-US"/>
        </w:rPr>
        <w:t xml:space="preserve"> các </w:t>
      </w:r>
      <w:r w:rsidR="00AD7E59" w:rsidRPr="00AA23B1">
        <w:rPr>
          <w:color w:val="000000" w:themeColor="text1"/>
          <w:sz w:val="20"/>
          <w:szCs w:val="20"/>
          <w:lang w:val="en-US"/>
        </w:rPr>
        <w:t>thương vụ</w:t>
      </w:r>
      <w:r w:rsidR="51325499" w:rsidRPr="00AA23B1">
        <w:rPr>
          <w:color w:val="000000" w:themeColor="text1"/>
          <w:sz w:val="20"/>
          <w:szCs w:val="20"/>
          <w:lang w:val="en-US"/>
        </w:rPr>
        <w:t xml:space="preserve"> giá trị cao, trong khi đó, các nhà đầu tư nước ngoài cũng đang </w:t>
      </w:r>
      <w:r w:rsidR="7FA7CD83" w:rsidRPr="00AA23B1">
        <w:rPr>
          <w:color w:val="000000" w:themeColor="text1"/>
          <w:sz w:val="20"/>
          <w:szCs w:val="20"/>
          <w:lang w:val="en-US"/>
        </w:rPr>
        <w:t>quan tâm trở lại</w:t>
      </w:r>
      <w:r w:rsidR="51325499" w:rsidRPr="00AA23B1">
        <w:rPr>
          <w:color w:val="000000" w:themeColor="text1"/>
          <w:sz w:val="20"/>
          <w:szCs w:val="20"/>
          <w:lang w:val="en-US"/>
        </w:rPr>
        <w:t xml:space="preserve"> </w:t>
      </w:r>
      <w:r w:rsidR="2E805696" w:rsidRPr="00AA23B1">
        <w:rPr>
          <w:color w:val="000000" w:themeColor="text1"/>
          <w:sz w:val="20"/>
          <w:szCs w:val="20"/>
          <w:lang w:val="en-US"/>
        </w:rPr>
        <w:t>tới</w:t>
      </w:r>
      <w:r w:rsidR="51325499" w:rsidRPr="00AA23B1">
        <w:rPr>
          <w:color w:val="000000" w:themeColor="text1"/>
          <w:sz w:val="20"/>
          <w:szCs w:val="20"/>
          <w:lang w:val="en-US"/>
        </w:rPr>
        <w:t xml:space="preserve"> thị trường, đặc biệt tập trung vào hai lĩnh vực tiềm năng là y tế và giáo dục. </w:t>
      </w:r>
      <w:r w:rsidR="43C295DC" w:rsidRPr="00AA23B1">
        <w:rPr>
          <w:color w:val="000000" w:themeColor="text1"/>
          <w:sz w:val="20"/>
          <w:szCs w:val="20"/>
          <w:lang w:val="en-US"/>
        </w:rPr>
        <w:t>Để tạo nên những</w:t>
      </w:r>
      <w:r w:rsidR="7CFB9E17" w:rsidRPr="00AA23B1">
        <w:rPr>
          <w:color w:val="000000" w:themeColor="text1"/>
          <w:sz w:val="20"/>
          <w:szCs w:val="20"/>
          <w:lang w:val="en-US"/>
        </w:rPr>
        <w:t xml:space="preserve"> </w:t>
      </w:r>
      <w:r w:rsidR="00273C02" w:rsidRPr="00AA23B1">
        <w:rPr>
          <w:color w:val="000000" w:themeColor="text1"/>
          <w:sz w:val="20"/>
          <w:szCs w:val="20"/>
          <w:lang w:val="en-US"/>
        </w:rPr>
        <w:t>thương vụ</w:t>
      </w:r>
      <w:r w:rsidR="43C295DC" w:rsidRPr="00AA23B1">
        <w:rPr>
          <w:color w:val="000000" w:themeColor="text1"/>
          <w:sz w:val="20"/>
          <w:szCs w:val="20"/>
          <w:lang w:val="en-US"/>
        </w:rPr>
        <w:t xml:space="preserve"> thành công</w:t>
      </w:r>
      <w:r w:rsidR="4FC44CE2" w:rsidRPr="00AA23B1">
        <w:rPr>
          <w:color w:val="000000" w:themeColor="text1"/>
          <w:sz w:val="20"/>
          <w:szCs w:val="20"/>
          <w:lang w:val="en-US"/>
        </w:rPr>
        <w:t xml:space="preserve"> trong thị trường năng động này</w:t>
      </w:r>
      <w:r w:rsidR="2EFDE1A2" w:rsidRPr="00AA23B1">
        <w:rPr>
          <w:color w:val="000000" w:themeColor="text1"/>
          <w:sz w:val="20"/>
          <w:szCs w:val="20"/>
          <w:lang w:val="en-US"/>
        </w:rPr>
        <w:t>, các nhà đầu tư cần</w:t>
      </w:r>
      <w:r w:rsidR="4FC44CE2" w:rsidRPr="00AA23B1">
        <w:rPr>
          <w:color w:val="000000" w:themeColor="text1"/>
          <w:sz w:val="20"/>
          <w:szCs w:val="20"/>
          <w:lang w:val="en-US"/>
        </w:rPr>
        <w:t xml:space="preserve"> sự hiểu biết sâu sắc về xu hướng ngành và tập trung chiến lược vào việc tạo ra giá trị</w:t>
      </w:r>
      <w:r w:rsidR="004E6933" w:rsidRPr="00AA23B1">
        <w:rPr>
          <w:color w:val="000000" w:themeColor="text1"/>
          <w:sz w:val="20"/>
          <w:szCs w:val="20"/>
          <w:lang w:val="en-US"/>
        </w:rPr>
        <w:t xml:space="preserve"> cốt lõi</w:t>
      </w:r>
      <w:r w:rsidR="4FC44CE2" w:rsidRPr="00AA23B1">
        <w:rPr>
          <w:color w:val="000000" w:themeColor="text1"/>
          <w:sz w:val="20"/>
          <w:szCs w:val="20"/>
          <w:lang w:val="en-US"/>
        </w:rPr>
        <w:t xml:space="preserve">. Các nhà đàm phán phải luôn </w:t>
      </w:r>
      <w:r w:rsidR="33D01F38" w:rsidRPr="00AA23B1">
        <w:rPr>
          <w:color w:val="000000" w:themeColor="text1"/>
          <w:sz w:val="20"/>
          <w:szCs w:val="20"/>
          <w:lang w:val="en-US"/>
        </w:rPr>
        <w:t>sáng suốt</w:t>
      </w:r>
      <w:r w:rsidR="4FC44CE2" w:rsidRPr="00AA23B1">
        <w:rPr>
          <w:color w:val="000000" w:themeColor="text1"/>
          <w:sz w:val="20"/>
          <w:szCs w:val="20"/>
          <w:lang w:val="en-US"/>
        </w:rPr>
        <w:t xml:space="preserve">, theo dõi định giá, lãi suất </w:t>
      </w:r>
      <w:r w:rsidR="004E6933" w:rsidRPr="00AA23B1">
        <w:rPr>
          <w:color w:val="000000" w:themeColor="text1"/>
          <w:sz w:val="20"/>
          <w:szCs w:val="20"/>
          <w:lang w:val="en-US"/>
        </w:rPr>
        <w:t xml:space="preserve">cũng như </w:t>
      </w:r>
      <w:r w:rsidR="4FC44CE2" w:rsidRPr="00AA23B1">
        <w:rPr>
          <w:color w:val="000000" w:themeColor="text1"/>
          <w:sz w:val="20"/>
          <w:szCs w:val="20"/>
          <w:lang w:val="en-US"/>
        </w:rPr>
        <w:t>các yếu tố địa chính trị để nắm bắt các cơ hội mới.”</w:t>
      </w:r>
    </w:p>
    <w:p w14:paraId="061D47E6" w14:textId="0013FCC8" w:rsidR="0030246D" w:rsidRDefault="0030246D" w:rsidP="140B8E88">
      <w:pPr>
        <w:spacing w:before="200"/>
        <w:rPr>
          <w:b/>
          <w:bCs/>
          <w:sz w:val="21"/>
          <w:szCs w:val="21"/>
        </w:rPr>
      </w:pPr>
    </w:p>
    <w:p w14:paraId="2681CED1" w14:textId="525F6AFE" w:rsidR="0030246D" w:rsidRDefault="77CFC206" w:rsidP="16943858">
      <w:pPr>
        <w:jc w:val="center"/>
        <w:rPr>
          <w:b/>
          <w:bCs/>
          <w:sz w:val="21"/>
          <w:szCs w:val="21"/>
        </w:rPr>
      </w:pPr>
      <w:r w:rsidRPr="16943858">
        <w:rPr>
          <w:b/>
          <w:bCs/>
          <w:sz w:val="21"/>
          <w:szCs w:val="21"/>
        </w:rPr>
        <w:t>Hết</w:t>
      </w:r>
      <w:r w:rsidR="00F64C5E" w:rsidRPr="16943858">
        <w:rPr>
          <w:b/>
          <w:bCs/>
          <w:sz w:val="21"/>
          <w:szCs w:val="21"/>
        </w:rPr>
        <w:t>.</w:t>
      </w:r>
    </w:p>
    <w:p w14:paraId="616CF5A9" w14:textId="3DB68CB1" w:rsidR="40238552" w:rsidRDefault="00F64C5E" w:rsidP="16943858">
      <w:pPr>
        <w:spacing w:before="240" w:after="200"/>
        <w:jc w:val="center"/>
        <w:rPr>
          <w:b/>
          <w:bCs/>
          <w:sz w:val="20"/>
          <w:szCs w:val="20"/>
          <w:lang w:val="en-US"/>
        </w:rPr>
      </w:pPr>
      <w:r w:rsidRPr="16943858">
        <w:rPr>
          <w:b/>
          <w:bCs/>
          <w:sz w:val="21"/>
          <w:szCs w:val="21"/>
        </w:rPr>
        <w:t>_________________</w:t>
      </w:r>
    </w:p>
    <w:p w14:paraId="36515587" w14:textId="0445D009" w:rsidR="40238552" w:rsidRDefault="40238552" w:rsidP="16943858">
      <w:pPr>
        <w:spacing w:before="240" w:after="200"/>
        <w:rPr>
          <w:b/>
          <w:bCs/>
          <w:sz w:val="20"/>
          <w:szCs w:val="20"/>
          <w:lang w:val="en-US"/>
        </w:rPr>
      </w:pPr>
      <w:r w:rsidRPr="16943858">
        <w:rPr>
          <w:b/>
          <w:bCs/>
          <w:sz w:val="20"/>
          <w:szCs w:val="20"/>
          <w:lang w:val="en-US"/>
        </w:rPr>
        <w:lastRenderedPageBreak/>
        <w:t>Ghi chú cho biên tập viên</w:t>
      </w:r>
    </w:p>
    <w:p w14:paraId="01A1A60C" w14:textId="6FE3551A" w:rsidR="40238552" w:rsidRDefault="40238552" w:rsidP="42CE49F3">
      <w:pPr>
        <w:spacing w:before="240" w:after="240"/>
      </w:pPr>
      <w:r w:rsidRPr="42CE49F3">
        <w:rPr>
          <w:b/>
          <w:bCs/>
          <w:sz w:val="20"/>
          <w:szCs w:val="20"/>
          <w:lang w:val="en-US"/>
        </w:rPr>
        <w:t>Về Báo cáo Xu hướng M&amp;A Toàn cầu của PwC</w:t>
      </w:r>
    </w:p>
    <w:p w14:paraId="17E1E6C5" w14:textId="306FC556" w:rsidR="40238552" w:rsidRDefault="40238552" w:rsidP="42CE49F3">
      <w:pPr>
        <w:spacing w:before="240" w:after="240"/>
        <w:rPr>
          <w:sz w:val="20"/>
          <w:szCs w:val="20"/>
          <w:lang w:val="en-US"/>
        </w:rPr>
      </w:pPr>
      <w:r w:rsidRPr="16943858">
        <w:rPr>
          <w:sz w:val="20"/>
          <w:szCs w:val="20"/>
          <w:lang w:val="en-US"/>
        </w:rPr>
        <w:t>Báo cáo Xu hướng M&amp;A (mua bán &amp; sáp nhập) Toàn cầu của PwC là một báo cáo phân tích hoạt động M&amp;A trên toàn cầu được thực hiện định kỳ 6 tháng một lần đối với tám ngành công nghiệp, bao gồm: thị trường tiêu dùng; năng lượng, tiện ích và tài nguyên; dịch vụ tài chính; ngành y tế; công nghiệp và dịch vụ; vốn tư nhân; bất động sản; và công nghệ, truyền thông &amp; viễn thông.</w:t>
      </w:r>
    </w:p>
    <w:p w14:paraId="7F125744" w14:textId="780653C5" w:rsidR="1795A627" w:rsidRDefault="4D3D50A6" w:rsidP="16943858">
      <w:pPr>
        <w:keepNext/>
        <w:keepLines/>
        <w:spacing w:before="240" w:after="240"/>
        <w:rPr>
          <w:sz w:val="20"/>
          <w:szCs w:val="20"/>
        </w:rPr>
      </w:pPr>
      <w:r w:rsidRPr="16943858">
        <w:rPr>
          <w:sz w:val="20"/>
          <w:szCs w:val="20"/>
        </w:rPr>
        <w:t xml:space="preserve">Đọc toàn bộ báo cáo tại </w:t>
      </w:r>
      <w:hyperlink r:id="rId10">
        <w:r w:rsidRPr="16943858">
          <w:rPr>
            <w:rStyle w:val="Hyperlink"/>
            <w:sz w:val="20"/>
            <w:szCs w:val="20"/>
          </w:rPr>
          <w:t>đ</w:t>
        </w:r>
        <w:r w:rsidRPr="16943858">
          <w:rPr>
            <w:rStyle w:val="Hyperlink"/>
            <w:sz w:val="20"/>
            <w:szCs w:val="20"/>
          </w:rPr>
          <w:t>â</w:t>
        </w:r>
        <w:r w:rsidRPr="16943858">
          <w:rPr>
            <w:rStyle w:val="Hyperlink"/>
            <w:sz w:val="20"/>
            <w:szCs w:val="20"/>
          </w:rPr>
          <w:t>y</w:t>
        </w:r>
      </w:hyperlink>
      <w:r w:rsidRPr="16943858">
        <w:rPr>
          <w:sz w:val="20"/>
          <w:szCs w:val="20"/>
        </w:rPr>
        <w:t>.</w:t>
      </w:r>
    </w:p>
    <w:p w14:paraId="79369FF9" w14:textId="67BD0F02" w:rsidR="2DE0E086" w:rsidRDefault="2DE0E086" w:rsidP="42CE49F3">
      <w:pPr>
        <w:spacing w:after="200"/>
        <w:rPr>
          <w:color w:val="000000" w:themeColor="text1"/>
          <w:sz w:val="20"/>
          <w:szCs w:val="20"/>
          <w:lang w:val="en-US"/>
        </w:rPr>
      </w:pPr>
      <w:r w:rsidRPr="42CE49F3">
        <w:rPr>
          <w:b/>
          <w:bCs/>
          <w:color w:val="000000" w:themeColor="text1"/>
          <w:sz w:val="20"/>
          <w:szCs w:val="20"/>
          <w:lang w:val="en-US"/>
        </w:rPr>
        <w:t>Về dữ liệu được sử dụng trong báo cáo</w:t>
      </w:r>
    </w:p>
    <w:p w14:paraId="078AB95A" w14:textId="1E5E916B" w:rsidR="42CE49F3" w:rsidRDefault="0B33F54B" w:rsidP="16943858">
      <w:pPr>
        <w:spacing w:before="240" w:after="240"/>
        <w:rPr>
          <w:sz w:val="20"/>
          <w:szCs w:val="20"/>
          <w:lang w:val="en-US"/>
        </w:rPr>
      </w:pPr>
      <w:r w:rsidRPr="16943858">
        <w:rPr>
          <w:sz w:val="20"/>
          <w:szCs w:val="20"/>
          <w:lang w:val="en-US"/>
        </w:rPr>
        <w:t xml:space="preserve">Chia sẻ của </w:t>
      </w:r>
      <w:r w:rsidR="2DE0E086" w:rsidRPr="16943858">
        <w:rPr>
          <w:sz w:val="20"/>
          <w:szCs w:val="20"/>
          <w:lang w:val="en-US"/>
        </w:rPr>
        <w:t>chúng tôi về xu hướng M&amp;A dựa trên dữ liệu từ các nguồn uy tín trong ngành và nghiên cứu độc lập của chúng tôi. Cụ thể, số lượng và giá trị giao dịch được đề cập trong ấn phẩm này dựa trên các giao dịch đã được công bố chính thức, loại trừ các giao dịch tin đồn và đã rút lại, được cung cấp bởi Tập đoàn Sàn giao dịch Chứng khoán Luân Đôn (LSEG) tính đến ngày 31 tháng 12 năm 2024 và được truy cập trong khoảng thời gian từ ngày 6 đến 9 tháng 1 năm 2025. Dữ liệu về số lượng các công ty trong danh mục đầu tư của các quỹ đầu tư tư nhân (private equity) tính đến ngày 31 tháng 12 năm 2024 được thu thập từ PitchBook. Một số điều chỉnh đối với dữ liệu nguồn đã được thực hiện để phù hợp với phân loại ngành của PwC. Tất cả số tiền đều được tính bằng đô la Mỹ. Các "megadeal" (giao dịch lớn) được định nghĩa là các giao dịch có giá trị vượt quá 5 tỷ USD.</w:t>
      </w:r>
    </w:p>
    <w:p w14:paraId="386F9ED6" w14:textId="07A5A79B" w:rsidR="2DE0E086" w:rsidRDefault="2DE0E086" w:rsidP="42CE49F3">
      <w:pPr>
        <w:rPr>
          <w:color w:val="000000" w:themeColor="text1"/>
          <w:sz w:val="20"/>
          <w:szCs w:val="20"/>
          <w:lang w:val="en-US"/>
        </w:rPr>
      </w:pPr>
      <w:r w:rsidRPr="42CE49F3">
        <w:rPr>
          <w:b/>
          <w:bCs/>
          <w:color w:val="000000" w:themeColor="text1"/>
          <w:sz w:val="20"/>
          <w:szCs w:val="20"/>
          <w:lang w:val="en-US"/>
        </w:rPr>
        <w:t>Về PwC</w:t>
      </w:r>
    </w:p>
    <w:p w14:paraId="38CE0A8D" w14:textId="46F8DB62" w:rsidR="42CE49F3" w:rsidRDefault="2DE0E086" w:rsidP="16943858">
      <w:pPr>
        <w:spacing w:before="240" w:after="240"/>
        <w:rPr>
          <w:color w:val="222222"/>
          <w:sz w:val="20"/>
          <w:szCs w:val="20"/>
          <w:lang w:val="en-US"/>
        </w:rPr>
      </w:pPr>
      <w:r w:rsidRPr="16943858">
        <w:rPr>
          <w:color w:val="222222"/>
          <w:sz w:val="20"/>
          <w:szCs w:val="20"/>
          <w:lang w:val="en-US"/>
        </w:rPr>
        <w:t>Tại PwC, mục tiêu của chúng tôi là tạo dựng uy tín trong xã hội và giải quyết các vấn đề quan trọng. Chúng tôi là thành viên của mạng lưới các công ty PwC tại 149 quốc gia với gần 370.000 nhân viên luôn cam kết cung cấp các dịch vụ kiểm toán và đảm bảo, tư vấn quản lý tài chính, tư vấn thuế và pháp lý chất lượng cao. Hãy trao đổi với chúng tôi các vấn đề của bạn và tìm hiểu rõ hơn về chúng tôi bằng cách truy cập trang web</w:t>
      </w:r>
      <w:r w:rsidRPr="16943858">
        <w:rPr>
          <w:sz w:val="20"/>
          <w:szCs w:val="20"/>
          <w:lang w:val="en-US"/>
        </w:rPr>
        <w:t xml:space="preserve"> </w:t>
      </w:r>
      <w:hyperlink r:id="rId11">
        <w:r w:rsidRPr="16943858">
          <w:rPr>
            <w:rStyle w:val="Hyperlink"/>
            <w:sz w:val="20"/>
            <w:szCs w:val="20"/>
            <w:lang w:val="en-US"/>
          </w:rPr>
          <w:t>www.pwc.com</w:t>
        </w:r>
      </w:hyperlink>
      <w:r w:rsidRPr="16943858">
        <w:rPr>
          <w:color w:val="222222"/>
          <w:sz w:val="20"/>
          <w:szCs w:val="20"/>
          <w:lang w:val="en-US"/>
        </w:rPr>
        <w:t>.</w:t>
      </w:r>
    </w:p>
    <w:p w14:paraId="45D968AD" w14:textId="11EC1802" w:rsidR="42CE49F3" w:rsidRDefault="2DE0E086" w:rsidP="16943858">
      <w:pPr>
        <w:spacing w:before="240" w:after="240"/>
        <w:rPr>
          <w:color w:val="000000" w:themeColor="text1"/>
          <w:sz w:val="20"/>
          <w:szCs w:val="20"/>
          <w:lang w:val="en-US"/>
        </w:rPr>
      </w:pPr>
      <w:r w:rsidRPr="16943858">
        <w:rPr>
          <w:color w:val="000000" w:themeColor="text1"/>
          <w:sz w:val="20"/>
          <w:szCs w:val="20"/>
          <w:lang w:val="en-US"/>
        </w:rPr>
        <w:t xml:space="preserve">© 2025 </w:t>
      </w:r>
      <w:r w:rsidRPr="16943858">
        <w:rPr>
          <w:color w:val="222222"/>
          <w:sz w:val="20"/>
          <w:szCs w:val="20"/>
          <w:lang w:val="en-US"/>
        </w:rPr>
        <w:t>Công ty TNHH PwC. Bảo lưu mọi quyền.</w:t>
      </w:r>
    </w:p>
    <w:sectPr w:rsidR="42CE49F3">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5DAF" w14:textId="77777777" w:rsidR="00716010" w:rsidRDefault="00716010">
      <w:pPr>
        <w:spacing w:line="240" w:lineRule="auto"/>
      </w:pPr>
      <w:r>
        <w:separator/>
      </w:r>
    </w:p>
  </w:endnote>
  <w:endnote w:type="continuationSeparator" w:id="0">
    <w:p w14:paraId="249E1841" w14:textId="77777777" w:rsidR="00716010" w:rsidRDefault="00716010">
      <w:pPr>
        <w:spacing w:line="240" w:lineRule="auto"/>
      </w:pPr>
      <w:r>
        <w:continuationSeparator/>
      </w:r>
    </w:p>
  </w:endnote>
  <w:endnote w:type="continuationNotice" w:id="1">
    <w:p w14:paraId="27AADF76" w14:textId="77777777" w:rsidR="00716010" w:rsidRDefault="00716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30246D" w:rsidRDefault="0030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0312" w14:textId="77777777" w:rsidR="00716010" w:rsidRDefault="00716010">
      <w:pPr>
        <w:spacing w:line="240" w:lineRule="auto"/>
      </w:pPr>
      <w:r>
        <w:separator/>
      </w:r>
    </w:p>
  </w:footnote>
  <w:footnote w:type="continuationSeparator" w:id="0">
    <w:p w14:paraId="785472A5" w14:textId="77777777" w:rsidR="00716010" w:rsidRDefault="00716010">
      <w:pPr>
        <w:spacing w:line="240" w:lineRule="auto"/>
      </w:pPr>
      <w:r>
        <w:continuationSeparator/>
      </w:r>
    </w:p>
  </w:footnote>
  <w:footnote w:type="continuationNotice" w:id="1">
    <w:p w14:paraId="6E0EDCE6" w14:textId="77777777" w:rsidR="00716010" w:rsidRDefault="00716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30246D" w:rsidRDefault="00F64C5E">
    <w:r>
      <w:rPr>
        <w:noProof/>
      </w:rPr>
      <w:drawing>
        <wp:inline distT="114300" distB="114300" distL="114300" distR="114300" wp14:anchorId="45883CD7" wp14:editId="07777777">
          <wp:extent cx="852488" cy="64424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2488" cy="644246"/>
                  </a:xfrm>
                  <a:prstGeom prst="rect">
                    <a:avLst/>
                  </a:prstGeom>
                  <a:ln/>
                </pic:spPr>
              </pic:pic>
            </a:graphicData>
          </a:graphic>
        </wp:inline>
      </w:drawing>
    </w:r>
  </w:p>
  <w:p w14:paraId="52E56223" w14:textId="77777777" w:rsidR="0030246D" w:rsidRDefault="00302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30398"/>
    <w:multiLevelType w:val="multilevel"/>
    <w:tmpl w:val="1DFE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644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D"/>
    <w:rsid w:val="00016026"/>
    <w:rsid w:val="00040138"/>
    <w:rsid w:val="00070FAB"/>
    <w:rsid w:val="000B0543"/>
    <w:rsid w:val="000E3EF8"/>
    <w:rsid w:val="000E47AC"/>
    <w:rsid w:val="000F345F"/>
    <w:rsid w:val="001325C6"/>
    <w:rsid w:val="00197033"/>
    <w:rsid w:val="00206EAD"/>
    <w:rsid w:val="0022588B"/>
    <w:rsid w:val="00225A37"/>
    <w:rsid w:val="0025252D"/>
    <w:rsid w:val="00273C02"/>
    <w:rsid w:val="0029478C"/>
    <w:rsid w:val="002D5765"/>
    <w:rsid w:val="0030246D"/>
    <w:rsid w:val="003117B5"/>
    <w:rsid w:val="00362FE2"/>
    <w:rsid w:val="0037176F"/>
    <w:rsid w:val="00372857"/>
    <w:rsid w:val="00387039"/>
    <w:rsid w:val="00397BF4"/>
    <w:rsid w:val="003A44B7"/>
    <w:rsid w:val="003B3C1B"/>
    <w:rsid w:val="003B6118"/>
    <w:rsid w:val="00401EBF"/>
    <w:rsid w:val="0043043C"/>
    <w:rsid w:val="004868D1"/>
    <w:rsid w:val="004A2039"/>
    <w:rsid w:val="004C30C9"/>
    <w:rsid w:val="004E6933"/>
    <w:rsid w:val="005062D8"/>
    <w:rsid w:val="00527AF1"/>
    <w:rsid w:val="00536D49"/>
    <w:rsid w:val="005B099C"/>
    <w:rsid w:val="005E27EE"/>
    <w:rsid w:val="005F6581"/>
    <w:rsid w:val="00643033"/>
    <w:rsid w:val="00674896"/>
    <w:rsid w:val="006C6CC0"/>
    <w:rsid w:val="006D0AA5"/>
    <w:rsid w:val="006F2A87"/>
    <w:rsid w:val="00716010"/>
    <w:rsid w:val="007236B0"/>
    <w:rsid w:val="007336FA"/>
    <w:rsid w:val="00787A66"/>
    <w:rsid w:val="007C3A52"/>
    <w:rsid w:val="007D50E5"/>
    <w:rsid w:val="007E339D"/>
    <w:rsid w:val="007E65D4"/>
    <w:rsid w:val="007F4D01"/>
    <w:rsid w:val="008345F6"/>
    <w:rsid w:val="008A38CC"/>
    <w:rsid w:val="008A6960"/>
    <w:rsid w:val="008D0334"/>
    <w:rsid w:val="00913478"/>
    <w:rsid w:val="009500F4"/>
    <w:rsid w:val="009754D1"/>
    <w:rsid w:val="009E6019"/>
    <w:rsid w:val="00A17915"/>
    <w:rsid w:val="00A371B2"/>
    <w:rsid w:val="00A40AFB"/>
    <w:rsid w:val="00A647EF"/>
    <w:rsid w:val="00AA23B1"/>
    <w:rsid w:val="00AA3D85"/>
    <w:rsid w:val="00AC063B"/>
    <w:rsid w:val="00AC7461"/>
    <w:rsid w:val="00AD7E59"/>
    <w:rsid w:val="00AF7926"/>
    <w:rsid w:val="00B429B8"/>
    <w:rsid w:val="00B6B0FB"/>
    <w:rsid w:val="00BC1AD4"/>
    <w:rsid w:val="00BD14C6"/>
    <w:rsid w:val="00C04806"/>
    <w:rsid w:val="00C1213A"/>
    <w:rsid w:val="00C55CAB"/>
    <w:rsid w:val="00D23912"/>
    <w:rsid w:val="00D45545"/>
    <w:rsid w:val="00D47E20"/>
    <w:rsid w:val="00D611C4"/>
    <w:rsid w:val="00D80610"/>
    <w:rsid w:val="00D82396"/>
    <w:rsid w:val="00DF2186"/>
    <w:rsid w:val="00E04E6E"/>
    <w:rsid w:val="00E52893"/>
    <w:rsid w:val="00E653B5"/>
    <w:rsid w:val="00EF37EF"/>
    <w:rsid w:val="00F032F8"/>
    <w:rsid w:val="00F30093"/>
    <w:rsid w:val="00F64C5E"/>
    <w:rsid w:val="00FB5AFD"/>
    <w:rsid w:val="00FC0939"/>
    <w:rsid w:val="024FC95C"/>
    <w:rsid w:val="027DA11D"/>
    <w:rsid w:val="028BE85D"/>
    <w:rsid w:val="02BAA03A"/>
    <w:rsid w:val="0319C5A1"/>
    <w:rsid w:val="0392F2B0"/>
    <w:rsid w:val="03AA1EEB"/>
    <w:rsid w:val="03F6E74C"/>
    <w:rsid w:val="0422C901"/>
    <w:rsid w:val="048D4FF1"/>
    <w:rsid w:val="04F9F51D"/>
    <w:rsid w:val="053128DF"/>
    <w:rsid w:val="0536D42C"/>
    <w:rsid w:val="056C0366"/>
    <w:rsid w:val="057785AD"/>
    <w:rsid w:val="058D03CE"/>
    <w:rsid w:val="064CB9F4"/>
    <w:rsid w:val="0677D26D"/>
    <w:rsid w:val="06C9D3F9"/>
    <w:rsid w:val="070C3B20"/>
    <w:rsid w:val="070E0700"/>
    <w:rsid w:val="0712BA4D"/>
    <w:rsid w:val="0715C542"/>
    <w:rsid w:val="0765760D"/>
    <w:rsid w:val="077EF7E4"/>
    <w:rsid w:val="07B2257A"/>
    <w:rsid w:val="07BEB276"/>
    <w:rsid w:val="07C96C8B"/>
    <w:rsid w:val="08252E9C"/>
    <w:rsid w:val="09012199"/>
    <w:rsid w:val="0921F7E0"/>
    <w:rsid w:val="099ABA11"/>
    <w:rsid w:val="09B56379"/>
    <w:rsid w:val="0A081AD6"/>
    <w:rsid w:val="0A396A79"/>
    <w:rsid w:val="0ABC50EB"/>
    <w:rsid w:val="0ABD72E7"/>
    <w:rsid w:val="0AEF731B"/>
    <w:rsid w:val="0B33F54B"/>
    <w:rsid w:val="0B794882"/>
    <w:rsid w:val="0BAC3819"/>
    <w:rsid w:val="0BAC9320"/>
    <w:rsid w:val="0C392F14"/>
    <w:rsid w:val="0D222A93"/>
    <w:rsid w:val="0D5BBEDC"/>
    <w:rsid w:val="0E48FD77"/>
    <w:rsid w:val="0E605EDE"/>
    <w:rsid w:val="0EA7418E"/>
    <w:rsid w:val="0F2D288B"/>
    <w:rsid w:val="0F43D7C4"/>
    <w:rsid w:val="0F46A9ED"/>
    <w:rsid w:val="0FBBDE2A"/>
    <w:rsid w:val="104D8886"/>
    <w:rsid w:val="10FBD69A"/>
    <w:rsid w:val="13A52BC9"/>
    <w:rsid w:val="13D8EEA0"/>
    <w:rsid w:val="140B8E88"/>
    <w:rsid w:val="1426B689"/>
    <w:rsid w:val="15146A62"/>
    <w:rsid w:val="1540B1F7"/>
    <w:rsid w:val="15DE8429"/>
    <w:rsid w:val="16192CDF"/>
    <w:rsid w:val="1621445F"/>
    <w:rsid w:val="1628CD9C"/>
    <w:rsid w:val="166B80B0"/>
    <w:rsid w:val="16943858"/>
    <w:rsid w:val="1737DDAF"/>
    <w:rsid w:val="1795A627"/>
    <w:rsid w:val="17AAAC74"/>
    <w:rsid w:val="1854CB51"/>
    <w:rsid w:val="18934E9F"/>
    <w:rsid w:val="197687B8"/>
    <w:rsid w:val="19CE5D90"/>
    <w:rsid w:val="19E8C53C"/>
    <w:rsid w:val="1A12AC8A"/>
    <w:rsid w:val="1A6B24F0"/>
    <w:rsid w:val="1A832306"/>
    <w:rsid w:val="1B02514A"/>
    <w:rsid w:val="1B8AF46C"/>
    <w:rsid w:val="1C084748"/>
    <w:rsid w:val="1C71A497"/>
    <w:rsid w:val="1CAB5B7F"/>
    <w:rsid w:val="1D200E53"/>
    <w:rsid w:val="1DD16549"/>
    <w:rsid w:val="1E61DE29"/>
    <w:rsid w:val="1E6B75F2"/>
    <w:rsid w:val="1ED07669"/>
    <w:rsid w:val="1ED87DFA"/>
    <w:rsid w:val="1F3AED79"/>
    <w:rsid w:val="1F664197"/>
    <w:rsid w:val="1FE7BB27"/>
    <w:rsid w:val="20672A0F"/>
    <w:rsid w:val="20BEC00B"/>
    <w:rsid w:val="20C42F47"/>
    <w:rsid w:val="21CA03BF"/>
    <w:rsid w:val="2244782A"/>
    <w:rsid w:val="22AB71A5"/>
    <w:rsid w:val="234305C4"/>
    <w:rsid w:val="238EE86D"/>
    <w:rsid w:val="24492D32"/>
    <w:rsid w:val="24C5263F"/>
    <w:rsid w:val="250037F9"/>
    <w:rsid w:val="25FF67A1"/>
    <w:rsid w:val="26073A22"/>
    <w:rsid w:val="26228114"/>
    <w:rsid w:val="26294172"/>
    <w:rsid w:val="263968B5"/>
    <w:rsid w:val="2642509D"/>
    <w:rsid w:val="26528B63"/>
    <w:rsid w:val="2686DD58"/>
    <w:rsid w:val="26C18424"/>
    <w:rsid w:val="26D80357"/>
    <w:rsid w:val="26DA9B13"/>
    <w:rsid w:val="2734C63F"/>
    <w:rsid w:val="273C8A58"/>
    <w:rsid w:val="27C67A5F"/>
    <w:rsid w:val="282B79EB"/>
    <w:rsid w:val="28C71FA3"/>
    <w:rsid w:val="28FF4182"/>
    <w:rsid w:val="2973C518"/>
    <w:rsid w:val="29B76F3B"/>
    <w:rsid w:val="2A50EFF0"/>
    <w:rsid w:val="2A60965C"/>
    <w:rsid w:val="2ACA8E87"/>
    <w:rsid w:val="2B0F5E6A"/>
    <w:rsid w:val="2B2DFADE"/>
    <w:rsid w:val="2B5AFA0F"/>
    <w:rsid w:val="2BA73FF1"/>
    <w:rsid w:val="2C030F1A"/>
    <w:rsid w:val="2C1612C6"/>
    <w:rsid w:val="2C8F0429"/>
    <w:rsid w:val="2D29DC30"/>
    <w:rsid w:val="2D57C947"/>
    <w:rsid w:val="2DAE7F86"/>
    <w:rsid w:val="2DC59B91"/>
    <w:rsid w:val="2DE0E086"/>
    <w:rsid w:val="2E39D814"/>
    <w:rsid w:val="2E805696"/>
    <w:rsid w:val="2EFDE1A2"/>
    <w:rsid w:val="2F4B4AA1"/>
    <w:rsid w:val="2F85BABB"/>
    <w:rsid w:val="2FD955F5"/>
    <w:rsid w:val="300D68D2"/>
    <w:rsid w:val="30217AF5"/>
    <w:rsid w:val="302CF625"/>
    <w:rsid w:val="30506FC4"/>
    <w:rsid w:val="30DC528C"/>
    <w:rsid w:val="31AC27BA"/>
    <w:rsid w:val="31D7B8C4"/>
    <w:rsid w:val="32BBBB81"/>
    <w:rsid w:val="33B7C8C6"/>
    <w:rsid w:val="33D01F38"/>
    <w:rsid w:val="33E0233D"/>
    <w:rsid w:val="342BACC7"/>
    <w:rsid w:val="348C38C6"/>
    <w:rsid w:val="34D89F89"/>
    <w:rsid w:val="35F76BD1"/>
    <w:rsid w:val="3603D189"/>
    <w:rsid w:val="3747E42B"/>
    <w:rsid w:val="37923CAC"/>
    <w:rsid w:val="39020085"/>
    <w:rsid w:val="393748CE"/>
    <w:rsid w:val="39A69789"/>
    <w:rsid w:val="39EA148E"/>
    <w:rsid w:val="3A72FAFA"/>
    <w:rsid w:val="3C3AFF2D"/>
    <w:rsid w:val="3CCC6348"/>
    <w:rsid w:val="3D1DCD1D"/>
    <w:rsid w:val="3D6F9698"/>
    <w:rsid w:val="3D950C97"/>
    <w:rsid w:val="40238552"/>
    <w:rsid w:val="407BB965"/>
    <w:rsid w:val="40C397F5"/>
    <w:rsid w:val="40D7A014"/>
    <w:rsid w:val="40F69429"/>
    <w:rsid w:val="41D032FE"/>
    <w:rsid w:val="41F4CAED"/>
    <w:rsid w:val="4243823A"/>
    <w:rsid w:val="42659CFC"/>
    <w:rsid w:val="42A29E4D"/>
    <w:rsid w:val="42CE49F3"/>
    <w:rsid w:val="42EF4379"/>
    <w:rsid w:val="4361B77F"/>
    <w:rsid w:val="43C295DC"/>
    <w:rsid w:val="44AFE62C"/>
    <w:rsid w:val="455A8E09"/>
    <w:rsid w:val="45A7CD13"/>
    <w:rsid w:val="45AD9CFE"/>
    <w:rsid w:val="467867D3"/>
    <w:rsid w:val="467DB171"/>
    <w:rsid w:val="46E22AF3"/>
    <w:rsid w:val="474983A1"/>
    <w:rsid w:val="47C16DAD"/>
    <w:rsid w:val="47CA8B3B"/>
    <w:rsid w:val="484DB400"/>
    <w:rsid w:val="48BD91F2"/>
    <w:rsid w:val="498A9D6A"/>
    <w:rsid w:val="49AE3510"/>
    <w:rsid w:val="4A22259D"/>
    <w:rsid w:val="4A5953CE"/>
    <w:rsid w:val="4AD16AA3"/>
    <w:rsid w:val="4BE89000"/>
    <w:rsid w:val="4D3D50A6"/>
    <w:rsid w:val="4E06A875"/>
    <w:rsid w:val="4E63D56F"/>
    <w:rsid w:val="4EDDF0CC"/>
    <w:rsid w:val="4F148323"/>
    <w:rsid w:val="4F51A018"/>
    <w:rsid w:val="4F5C50EC"/>
    <w:rsid w:val="4FC44CE2"/>
    <w:rsid w:val="4FE7AA87"/>
    <w:rsid w:val="4FEC4AFE"/>
    <w:rsid w:val="504FBF02"/>
    <w:rsid w:val="507B0814"/>
    <w:rsid w:val="50D7C7B3"/>
    <w:rsid w:val="512BA0C5"/>
    <w:rsid w:val="51325499"/>
    <w:rsid w:val="51646FD8"/>
    <w:rsid w:val="51728135"/>
    <w:rsid w:val="51D6DF3C"/>
    <w:rsid w:val="525AC268"/>
    <w:rsid w:val="527A4EC4"/>
    <w:rsid w:val="5281BFAC"/>
    <w:rsid w:val="52A3B970"/>
    <w:rsid w:val="5339BAE0"/>
    <w:rsid w:val="53A1E63C"/>
    <w:rsid w:val="53A5B614"/>
    <w:rsid w:val="53F814BA"/>
    <w:rsid w:val="542D9318"/>
    <w:rsid w:val="5444BE13"/>
    <w:rsid w:val="548EEDDF"/>
    <w:rsid w:val="549AF933"/>
    <w:rsid w:val="54A8C012"/>
    <w:rsid w:val="54F7DE94"/>
    <w:rsid w:val="5512B4D5"/>
    <w:rsid w:val="55432564"/>
    <w:rsid w:val="555528C9"/>
    <w:rsid w:val="557438B1"/>
    <w:rsid w:val="559B770E"/>
    <w:rsid w:val="5844C65F"/>
    <w:rsid w:val="5873ACB8"/>
    <w:rsid w:val="58818E7B"/>
    <w:rsid w:val="588BC01C"/>
    <w:rsid w:val="589A7F7D"/>
    <w:rsid w:val="58FC6195"/>
    <w:rsid w:val="592A5D60"/>
    <w:rsid w:val="5994F61C"/>
    <w:rsid w:val="599EBD74"/>
    <w:rsid w:val="5A0AEF30"/>
    <w:rsid w:val="5A290EE1"/>
    <w:rsid w:val="5AA80CA3"/>
    <w:rsid w:val="5AD762A9"/>
    <w:rsid w:val="5B50EB49"/>
    <w:rsid w:val="5B880058"/>
    <w:rsid w:val="5C52A2FA"/>
    <w:rsid w:val="5C59559F"/>
    <w:rsid w:val="5D6F41DB"/>
    <w:rsid w:val="5DEC22A2"/>
    <w:rsid w:val="5E2865C3"/>
    <w:rsid w:val="5E59EC4B"/>
    <w:rsid w:val="5EE2F380"/>
    <w:rsid w:val="5F818766"/>
    <w:rsid w:val="60161AEE"/>
    <w:rsid w:val="603E1874"/>
    <w:rsid w:val="606E5032"/>
    <w:rsid w:val="60BCCA67"/>
    <w:rsid w:val="60E8D195"/>
    <w:rsid w:val="611BBE79"/>
    <w:rsid w:val="619B35A2"/>
    <w:rsid w:val="62204EAA"/>
    <w:rsid w:val="62223D1F"/>
    <w:rsid w:val="62A7EF9A"/>
    <w:rsid w:val="62DF8268"/>
    <w:rsid w:val="634F6AE0"/>
    <w:rsid w:val="638DEEC2"/>
    <w:rsid w:val="643AA4D1"/>
    <w:rsid w:val="6464A09D"/>
    <w:rsid w:val="6531FF7B"/>
    <w:rsid w:val="6592C720"/>
    <w:rsid w:val="65F32279"/>
    <w:rsid w:val="6610CC08"/>
    <w:rsid w:val="665CACF4"/>
    <w:rsid w:val="66A4EFF0"/>
    <w:rsid w:val="66B649E1"/>
    <w:rsid w:val="6846ADB3"/>
    <w:rsid w:val="687F321E"/>
    <w:rsid w:val="68B79E23"/>
    <w:rsid w:val="692F1EEB"/>
    <w:rsid w:val="695C1578"/>
    <w:rsid w:val="69A35979"/>
    <w:rsid w:val="69F97480"/>
    <w:rsid w:val="6B266208"/>
    <w:rsid w:val="6BF45FF2"/>
    <w:rsid w:val="6C1285C8"/>
    <w:rsid w:val="6C4B5374"/>
    <w:rsid w:val="6D3F1E7B"/>
    <w:rsid w:val="6D6921D1"/>
    <w:rsid w:val="6D6D1637"/>
    <w:rsid w:val="6DF20DAE"/>
    <w:rsid w:val="6E103929"/>
    <w:rsid w:val="6E31D27C"/>
    <w:rsid w:val="6EC18D6A"/>
    <w:rsid w:val="6EFE1FD0"/>
    <w:rsid w:val="6F0275EE"/>
    <w:rsid w:val="6F2FFA25"/>
    <w:rsid w:val="6F7BC972"/>
    <w:rsid w:val="6FFAA489"/>
    <w:rsid w:val="70543D0D"/>
    <w:rsid w:val="707D1D6C"/>
    <w:rsid w:val="7184C787"/>
    <w:rsid w:val="71CEA574"/>
    <w:rsid w:val="726BE419"/>
    <w:rsid w:val="72EBCBC1"/>
    <w:rsid w:val="733B1B44"/>
    <w:rsid w:val="73F3D348"/>
    <w:rsid w:val="74070690"/>
    <w:rsid w:val="744EE00A"/>
    <w:rsid w:val="747FD032"/>
    <w:rsid w:val="74FE454B"/>
    <w:rsid w:val="7595BEDE"/>
    <w:rsid w:val="7639FA4A"/>
    <w:rsid w:val="76429C8E"/>
    <w:rsid w:val="76ADCD09"/>
    <w:rsid w:val="76BE70B7"/>
    <w:rsid w:val="76D82C6D"/>
    <w:rsid w:val="76DAE7EC"/>
    <w:rsid w:val="776216DF"/>
    <w:rsid w:val="77CFC206"/>
    <w:rsid w:val="79095A98"/>
    <w:rsid w:val="7A17F01C"/>
    <w:rsid w:val="7A7F3028"/>
    <w:rsid w:val="7B3E1CD6"/>
    <w:rsid w:val="7BFEA1F8"/>
    <w:rsid w:val="7C76E88E"/>
    <w:rsid w:val="7CA05A02"/>
    <w:rsid w:val="7CB2C704"/>
    <w:rsid w:val="7CBDC07C"/>
    <w:rsid w:val="7CFB9E17"/>
    <w:rsid w:val="7CFF6866"/>
    <w:rsid w:val="7D07E057"/>
    <w:rsid w:val="7D3AA009"/>
    <w:rsid w:val="7D6E6E80"/>
    <w:rsid w:val="7D8539F7"/>
    <w:rsid w:val="7E912D6B"/>
    <w:rsid w:val="7F3457A3"/>
    <w:rsid w:val="7FA5A609"/>
    <w:rsid w:val="7FA7CD83"/>
    <w:rsid w:val="7FD86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3007"/>
  <w15:docId w15:val="{45CC6841-8368-47CC-974F-684E1EC8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42CE49F3"/>
    <w:rPr>
      <w:color w:val="0000FF"/>
      <w:u w:val="single"/>
    </w:rPr>
  </w:style>
  <w:style w:type="paragraph" w:styleId="Header">
    <w:name w:val="header"/>
    <w:basedOn w:val="Normal"/>
    <w:link w:val="HeaderChar"/>
    <w:uiPriority w:val="99"/>
    <w:semiHidden/>
    <w:unhideWhenUsed/>
    <w:rsid w:val="00E5289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B0543"/>
  </w:style>
  <w:style w:type="paragraph" w:styleId="Footer">
    <w:name w:val="footer"/>
    <w:basedOn w:val="Normal"/>
    <w:link w:val="FooterChar"/>
    <w:uiPriority w:val="99"/>
    <w:semiHidden/>
    <w:unhideWhenUsed/>
    <w:rsid w:val="00E5289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B0543"/>
  </w:style>
  <w:style w:type="paragraph" w:styleId="Revision">
    <w:name w:val="Revision"/>
    <w:hidden/>
    <w:uiPriority w:val="99"/>
    <w:semiHidden/>
    <w:rsid w:val="006C6CC0"/>
    <w:pPr>
      <w:spacing w:line="240" w:lineRule="auto"/>
    </w:pPr>
  </w:style>
  <w:style w:type="character" w:styleId="CommentReference">
    <w:name w:val="annotation reference"/>
    <w:basedOn w:val="DefaultParagraphFont"/>
    <w:uiPriority w:val="99"/>
    <w:semiHidden/>
    <w:unhideWhenUsed/>
    <w:rsid w:val="0025252D"/>
    <w:rPr>
      <w:sz w:val="16"/>
      <w:szCs w:val="16"/>
    </w:rPr>
  </w:style>
  <w:style w:type="paragraph" w:styleId="CommentText">
    <w:name w:val="annotation text"/>
    <w:basedOn w:val="Normal"/>
    <w:link w:val="CommentTextChar"/>
    <w:uiPriority w:val="99"/>
    <w:unhideWhenUsed/>
    <w:rsid w:val="0025252D"/>
    <w:pPr>
      <w:spacing w:line="240" w:lineRule="auto"/>
    </w:pPr>
    <w:rPr>
      <w:sz w:val="20"/>
      <w:szCs w:val="20"/>
    </w:rPr>
  </w:style>
  <w:style w:type="character" w:customStyle="1" w:styleId="CommentTextChar">
    <w:name w:val="Comment Text Char"/>
    <w:basedOn w:val="DefaultParagraphFont"/>
    <w:link w:val="CommentText"/>
    <w:uiPriority w:val="99"/>
    <w:rsid w:val="0025252D"/>
    <w:rPr>
      <w:sz w:val="20"/>
      <w:szCs w:val="20"/>
    </w:rPr>
  </w:style>
  <w:style w:type="paragraph" w:styleId="CommentSubject">
    <w:name w:val="annotation subject"/>
    <w:basedOn w:val="CommentText"/>
    <w:next w:val="CommentText"/>
    <w:link w:val="CommentSubjectChar"/>
    <w:uiPriority w:val="99"/>
    <w:semiHidden/>
    <w:unhideWhenUsed/>
    <w:rsid w:val="0025252D"/>
    <w:rPr>
      <w:b/>
      <w:bCs/>
    </w:rPr>
  </w:style>
  <w:style w:type="character" w:customStyle="1" w:styleId="CommentSubjectChar">
    <w:name w:val="Comment Subject Char"/>
    <w:basedOn w:val="CommentTextChar"/>
    <w:link w:val="CommentSubject"/>
    <w:uiPriority w:val="99"/>
    <w:semiHidden/>
    <w:rsid w:val="0025252D"/>
    <w:rPr>
      <w:b/>
      <w:bCs/>
      <w:sz w:val="20"/>
      <w:szCs w:val="20"/>
    </w:rPr>
  </w:style>
  <w:style w:type="character" w:styleId="FollowedHyperlink">
    <w:name w:val="FollowedHyperlink"/>
    <w:basedOn w:val="DefaultParagraphFont"/>
    <w:uiPriority w:val="99"/>
    <w:semiHidden/>
    <w:unhideWhenUsed/>
    <w:rsid w:val="00AA2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w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wc.com/gx/en/services/deals/trends.html?WT.mc_id=GMO-SPO-NA-FY25-SPO-GLMAT-T23-CI-XLOS-ART-GMOSPO00013-EN-ETL-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0CB64D84ABE458E81546507090765" ma:contentTypeVersion="13" ma:contentTypeDescription="Create a new document." ma:contentTypeScope="" ma:versionID="2ec22a7c13f90e45f579d0ac2bc4eb3b">
  <xsd:schema xmlns:xsd="http://www.w3.org/2001/XMLSchema" xmlns:xs="http://www.w3.org/2001/XMLSchema" xmlns:p="http://schemas.microsoft.com/office/2006/metadata/properties" xmlns:ns2="efedfbc1-b831-47f9-b385-997dbf5e3e30" xmlns:ns3="841cb073-beab-4627-9920-1ce28709298a" targetNamespace="http://schemas.microsoft.com/office/2006/metadata/properties" ma:root="true" ma:fieldsID="be20ce971c34c136c0a01ce44ab59464" ns2:_="" ns3:_="">
    <xsd:import namespace="efedfbc1-b831-47f9-b385-997dbf5e3e30"/>
    <xsd:import namespace="841cb073-beab-4627-9920-1ce2870929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fbc1-b831-47f9-b385-997dbf5e3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cb073-beab-4627-9920-1ce2870929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0859c-ef4d-44aa-a96f-c66956119e7b}" ma:internalName="TaxCatchAll" ma:showField="CatchAllData" ma:web="841cb073-beab-4627-9920-1ce287092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edfbc1-b831-47f9-b385-997dbf5e3e30">
      <Terms xmlns="http://schemas.microsoft.com/office/infopath/2007/PartnerControls"/>
    </lcf76f155ced4ddcb4097134ff3c332f>
    <TaxCatchAll xmlns="841cb073-beab-4627-9920-1ce287092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BD6BD-62A2-4AA8-8393-A54EFE85F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dfbc1-b831-47f9-b385-997dbf5e3e30"/>
    <ds:schemaRef ds:uri="841cb073-beab-4627-9920-1ce287092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39B62-50E6-489E-9340-E8571679E96A}">
  <ds:schemaRefs>
    <ds:schemaRef ds:uri="http://schemas.microsoft.com/office/2006/metadata/properties"/>
    <ds:schemaRef ds:uri="http://schemas.microsoft.com/office/infopath/2007/PartnerControls"/>
    <ds:schemaRef ds:uri="efedfbc1-b831-47f9-b385-997dbf5e3e30"/>
    <ds:schemaRef ds:uri="841cb073-beab-4627-9920-1ce28709298a"/>
  </ds:schemaRefs>
</ds:datastoreItem>
</file>

<file path=customXml/itemProps3.xml><?xml version="1.0" encoding="utf-8"?>
<ds:datastoreItem xmlns:ds="http://schemas.openxmlformats.org/officeDocument/2006/customXml" ds:itemID="{9CF15727-589E-489F-83B3-4E688F530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Duong (VN)</dc:creator>
  <cp:keywords/>
  <cp:lastModifiedBy>Nguyen Mai Huong (VN)</cp:lastModifiedBy>
  <cp:revision>52</cp:revision>
  <dcterms:created xsi:type="dcterms:W3CDTF">2025-02-07T02:27:00Z</dcterms:created>
  <dcterms:modified xsi:type="dcterms:W3CDTF">2025-02-18T08:19:00Z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0x010100BBC0CB64D84ABE458E81546507090765</vt:lpwstr>
  </property>
  <property fmtid="{D5CDD505-2E9C-101B-9397-08002B2CF9AE}" pid="3" name="MediaServiceImageTags">
    <vt:lpwstr/>
  </property>
</Properties>
</file>