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3D98" w14:textId="03C692C6" w:rsidR="00585086" w:rsidRPr="00126BF8" w:rsidRDefault="00585086" w:rsidP="009B2C1D">
      <w:pPr>
        <w:spacing w:line="276" w:lineRule="auto"/>
        <w:rPr>
          <w:rFonts w:ascii="Calibri" w:hAnsi="Calibri" w:cs="Calibri"/>
          <w:b/>
          <w:bCs/>
          <w:noProof/>
          <w:color w:val="000000" w:themeColor="text1"/>
          <w:sz w:val="32"/>
          <w:szCs w:val="32"/>
          <w:lang w:val="vi-VN"/>
        </w:rPr>
      </w:pPr>
      <w:r w:rsidRPr="00126BF8">
        <w:rPr>
          <w:rFonts w:ascii="Calibri" w:hAnsi="Calibri" w:cs="Calibri"/>
          <w:b/>
          <w:bCs/>
          <w:noProof/>
          <w:color w:val="000000" w:themeColor="text1"/>
          <w:sz w:val="32"/>
          <w:szCs w:val="32"/>
          <w:lang w:val="vi-VN"/>
        </w:rPr>
        <w:t xml:space="preserve">Vietnam at a glance </w:t>
      </w:r>
    </w:p>
    <w:p w14:paraId="23A308FE" w14:textId="663341EA" w:rsidR="00585086" w:rsidRPr="00A0301A" w:rsidRDefault="00A0301A" w:rsidP="009B2C1D">
      <w:pPr>
        <w:spacing w:line="276" w:lineRule="auto"/>
        <w:rPr>
          <w:rFonts w:ascii="Calibri" w:hAnsi="Calibri" w:cs="Calibri"/>
          <w:b/>
          <w:bCs/>
          <w:noProof/>
          <w:color w:val="000000" w:themeColor="text1"/>
          <w:sz w:val="32"/>
          <w:szCs w:val="32"/>
          <w:lang w:val="vi-VN"/>
        </w:rPr>
      </w:pPr>
      <w:r>
        <w:rPr>
          <w:rFonts w:ascii="Calibri" w:hAnsi="Calibri" w:cs="Calibri"/>
          <w:b/>
          <w:bCs/>
          <w:noProof/>
          <w:color w:val="000000" w:themeColor="text1"/>
          <w:sz w:val="32"/>
          <w:szCs w:val="32"/>
        </w:rPr>
        <w:t xml:space="preserve">Câu chuyện </w:t>
      </w:r>
      <w:r w:rsidR="00CF0FAF" w:rsidRPr="00A0301A">
        <w:rPr>
          <w:rFonts w:ascii="Calibri" w:hAnsi="Calibri" w:cs="Calibri"/>
          <w:b/>
          <w:bCs/>
          <w:noProof/>
          <w:color w:val="000000" w:themeColor="text1"/>
          <w:sz w:val="32"/>
          <w:szCs w:val="32"/>
          <w:lang w:val="vi-VN"/>
        </w:rPr>
        <w:t>về vốn</w:t>
      </w:r>
    </w:p>
    <w:p w14:paraId="57E52EEB" w14:textId="77777777" w:rsidR="00585086" w:rsidRPr="00634EDC" w:rsidRDefault="00585086" w:rsidP="009B2C1D">
      <w:pPr>
        <w:spacing w:line="276" w:lineRule="auto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</w:p>
    <w:p w14:paraId="6488FAB5" w14:textId="4ABD056E" w:rsidR="00CF0FAF" w:rsidRPr="00A0301A" w:rsidRDefault="00126BF8" w:rsidP="00A0301A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</w:pPr>
      <w:r w:rsidRPr="00126BF8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>Mọi</w:t>
      </w:r>
      <w:r w:rsidR="00CF0FAF" w:rsidRPr="00A0301A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 xml:space="preserve"> </w:t>
      </w:r>
      <w:r w:rsidR="00C63424" w:rsidRPr="00A0301A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>sự chú ý</w:t>
      </w:r>
      <w:r w:rsidR="00CF0FAF" w:rsidRPr="00A0301A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 xml:space="preserve"> đều đang hướng về tiềm năng </w:t>
      </w:r>
      <w:r w:rsidR="00C63424" w:rsidRPr="00A0301A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 xml:space="preserve">Việt Nam được nâng hạng lên </w:t>
      </w:r>
      <w:r w:rsidR="00CF0FAF" w:rsidRPr="00A0301A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>thị trường mới nổi trong năm nay, mở rộng các kênh huy động vốn</w:t>
      </w:r>
      <w:r w:rsidR="00167812" w:rsidRPr="00167812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 xml:space="preserve"> cho quốc gia này</w:t>
      </w:r>
      <w:r w:rsidR="00CF0FAF" w:rsidRPr="00A0301A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>.</w:t>
      </w:r>
    </w:p>
    <w:p w14:paraId="033613D8" w14:textId="74FD6458" w:rsidR="00CF0FAF" w:rsidRPr="00A0301A" w:rsidRDefault="00CF0FAF" w:rsidP="00A0301A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</w:pPr>
      <w:r w:rsidRPr="00A0301A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 xml:space="preserve">Bất chấp những thách thức, các cải cách nhằm tháo gỡ rào cản </w:t>
      </w:r>
      <w:r w:rsidR="00167812" w:rsidRPr="00167812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 xml:space="preserve">trong </w:t>
      </w:r>
      <w:r w:rsidRPr="00A0301A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>giao dịch</w:t>
      </w:r>
      <w:r w:rsidR="00167812" w:rsidRPr="00167812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 xml:space="preserve"> và </w:t>
      </w:r>
      <w:r w:rsidRPr="00A0301A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 xml:space="preserve">nâng cao </w:t>
      </w:r>
      <w:r w:rsidR="00435CCB" w:rsidRPr="00A0301A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 xml:space="preserve">mức độ </w:t>
      </w:r>
      <w:r w:rsidR="003B38ED" w:rsidRPr="003B38ED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 xml:space="preserve">minh bạch và </w:t>
      </w:r>
      <w:r w:rsidR="00435CCB" w:rsidRPr="00A0301A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 xml:space="preserve">công bố thông tin </w:t>
      </w:r>
      <w:r w:rsidRPr="00A0301A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 xml:space="preserve">của doanh nghiệp đang </w:t>
      </w:r>
      <w:r w:rsidR="003B38ED" w:rsidRPr="003B38ED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>diễn ra</w:t>
      </w:r>
    </w:p>
    <w:p w14:paraId="64FD31FE" w14:textId="5B6B7B99" w:rsidR="00CF0FAF" w:rsidRPr="007A5843" w:rsidRDefault="00CF0FAF" w:rsidP="009B2C1D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</w:pPr>
      <w:r w:rsidRPr="00FF03FC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>Dữ liệu</w:t>
      </w:r>
      <w:r w:rsidR="003B38ED" w:rsidRPr="00FF03FC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 xml:space="preserve"> cho thấy</w:t>
      </w:r>
      <w:r w:rsidRPr="00FF03FC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 xml:space="preserve">: Thương mại Việt Nam khởi đầu tháng 1 </w:t>
      </w:r>
      <w:r w:rsidR="00FF03FC" w:rsidRPr="00FF03FC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 xml:space="preserve">bằng những bước chân vững chắc, </w:t>
      </w:r>
      <w:r w:rsidR="00656A2D" w:rsidRPr="00656A2D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>xét trong bối cảnh c</w:t>
      </w:r>
      <w:r w:rsidR="00656A2D" w:rsidRPr="00BC6239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>ó</w:t>
      </w:r>
      <w:r w:rsidR="00FF03FC" w:rsidRPr="00FF03FC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 xml:space="preserve"> những biến động do Tết</w:t>
      </w:r>
    </w:p>
    <w:p w14:paraId="0CFDA99C" w14:textId="77777777" w:rsidR="007A5843" w:rsidRPr="00126BF8" w:rsidRDefault="007A5843" w:rsidP="009B2C1D">
      <w:pPr>
        <w:spacing w:line="276" w:lineRule="auto"/>
        <w:jc w:val="both"/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</w:pPr>
    </w:p>
    <w:p w14:paraId="1778077B" w14:textId="7E9296E4" w:rsidR="00585086" w:rsidRPr="00634EDC" w:rsidRDefault="00F16811" w:rsidP="009B2C1D">
      <w:pPr>
        <w:spacing w:line="276" w:lineRule="auto"/>
        <w:jc w:val="both"/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</w:pPr>
      <w:r w:rsidRPr="00634EDC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  <w:t>Thị trường vốn chưa phát triển</w:t>
      </w:r>
    </w:p>
    <w:p w14:paraId="0E6F5742" w14:textId="7A4EEF11" w:rsidR="00937170" w:rsidRPr="008F32D7" w:rsidRDefault="00F16811" w:rsidP="00937170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Mặc dù là thị trường chứng khoán </w:t>
      </w:r>
      <w:r w:rsidR="001B444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có </w:t>
      </w:r>
      <w:r w:rsidR="00F22978" w:rsidRPr="00F2297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kết quả </w:t>
      </w:r>
      <w:r w:rsidR="00ED3ACE" w:rsidRPr="00126BF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hoạt động </w:t>
      </w:r>
      <w:r w:rsidR="00F22978" w:rsidRPr="00F2297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tốt nhất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ASEAN trong năm qua, thị trường vốn Việt Nam vẫn </w:t>
      </w:r>
      <w:r w:rsidR="0033630F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chưa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được coi là phát triển</w:t>
      </w:r>
      <w:r w:rsidR="0033630F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toàn diện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. Trong nhiều thập kỷ qua, tăng trưởng kinh tế Việt Nam chủ yếu dựa vào tín dụng ngân hàng. </w:t>
      </w:r>
      <w:r w:rsidR="00E852F7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Tuy nhiên, </w:t>
      </w:r>
      <w:r w:rsidR="00E852F7" w:rsidRPr="00F17844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mức độ</w:t>
      </w:r>
      <w:r w:rsidR="00E852F7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phụ thuộc </w:t>
      </w:r>
      <w:r w:rsidR="00E852F7" w:rsidRPr="004C776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nhiều</w:t>
      </w:r>
      <w:r w:rsidR="00E852F7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vào tín dụng có thể</w:t>
      </w:r>
      <w:r w:rsidR="00E852F7" w:rsidRPr="004C776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dẫn đến</w:t>
      </w:r>
      <w:r w:rsidR="00E852F7" w:rsidRPr="000D780D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việc </w:t>
      </w:r>
      <w:r w:rsidR="00E852F7" w:rsidRPr="00C96D84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những điều chỉnh về mặt kinh tế</w:t>
      </w:r>
      <w:r w:rsidR="00E852F7" w:rsidRPr="00373DD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gia tăng tác động theo hướng bất lợi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. </w:t>
      </w:r>
      <w:r w:rsidR="00435CC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Dù đã c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ó những nỗ lực</w:t>
      </w:r>
      <w:r w:rsidR="00937170" w:rsidRPr="00937170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thúc đẩy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phát triển thị trường vốn Việt Nam,</w:t>
      </w:r>
      <w:r w:rsidR="00ED7ED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song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những thách thức </w:t>
      </w:r>
      <w:r w:rsidR="0045644C" w:rsidRPr="0045644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lớn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vẫn </w:t>
      </w:r>
      <w:r w:rsidR="00ED7ED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hiện hữu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bao gồm </w:t>
      </w:r>
      <w:r w:rsidR="00937170" w:rsidRPr="000B023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những </w:t>
      </w:r>
      <w:r w:rsidR="00A701FD" w:rsidRPr="00A701FD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rào cản</w:t>
      </w:r>
      <w:r w:rsidR="00937170" w:rsidRPr="000B023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937170" w:rsidRPr="00A76D1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trong giao dịch và liên quan đến hạ tầng, </w:t>
      </w:r>
      <w:r w:rsidR="0093717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mức độ minh bạch và công bố thông tin của doanh nghiệp còn hạn chế</w:t>
      </w:r>
      <w:r w:rsidR="00937170" w:rsidRPr="008F32D7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.</w:t>
      </w:r>
    </w:p>
    <w:p w14:paraId="2B3DABB8" w14:textId="103E2C0B" w:rsidR="00585086" w:rsidRPr="00634EDC" w:rsidRDefault="00AB7CC7" w:rsidP="009B2C1D">
      <w:pPr>
        <w:spacing w:line="276" w:lineRule="auto"/>
        <w:jc w:val="both"/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</w:pPr>
      <w:r w:rsidRPr="00126BF8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  <w:t xml:space="preserve">Tháo gỡ </w:t>
      </w:r>
      <w:r w:rsidR="00A701FD" w:rsidRPr="00126BF8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  <w:t>rào cản</w:t>
      </w:r>
    </w:p>
    <w:p w14:paraId="2C4ABAEE" w14:textId="2A99FC78" w:rsidR="00435CCB" w:rsidRPr="00780D55" w:rsidRDefault="00A701FD" w:rsidP="009B2C1D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C56CD7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Điều may mắn l</w:t>
      </w:r>
      <w:r w:rsidRPr="003244E2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à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435CC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những thay đổi </w:t>
      </w:r>
      <w:r w:rsidR="004D214C" w:rsidRPr="004D214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cũng </w:t>
      </w:r>
      <w:r w:rsidR="00435CC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đang </w:t>
      </w:r>
      <w:r w:rsidRPr="004D214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diễn ra</w:t>
      </w:r>
      <w:r w:rsidR="00435CC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. Việt Nam đã</w:t>
      </w:r>
      <w:r w:rsidR="0033630F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chính thức</w:t>
      </w:r>
      <w:r w:rsidR="00435CC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bãi bỏ yêu cầu </w:t>
      </w:r>
      <w:r w:rsidR="0033630F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ký quỹ</w:t>
      </w:r>
      <w:r w:rsidR="00435CC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trước khi giao dịch chứng khoán, </w:t>
      </w:r>
      <w:r w:rsidR="004D214C" w:rsidRPr="00E826B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đáp ứng</w:t>
      </w:r>
      <w:r w:rsidR="004D214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một tiêu chí quan trọng để nâng hạng từ thị trường cận biên lên thị trường mới nổi</w:t>
      </w:r>
      <w:r w:rsidR="00435CC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. </w:t>
      </w:r>
      <w:r w:rsidR="00D433A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Song song</w:t>
      </w:r>
      <w:r w:rsidR="00C63424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đó</w:t>
      </w:r>
      <w:r w:rsidR="00435CC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các cải cách nhằm </w:t>
      </w:r>
      <w:r w:rsidR="00090F4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nâng cao mức độ </w:t>
      </w:r>
      <w:r w:rsidR="00EA6662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minh bạch </w:t>
      </w:r>
      <w:r w:rsidR="00EA6662" w:rsidRPr="00FB223E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và </w:t>
      </w:r>
      <w:r w:rsidR="00EA6662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công bố thông tin</w:t>
      </w:r>
      <w:r w:rsidR="00241E67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</w:t>
      </w:r>
      <w:r w:rsidR="00166F5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để</w:t>
      </w:r>
      <w:r w:rsidR="00166F5E" w:rsidRPr="002462C4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tạo điều kiện thuận lợi cho nh</w:t>
      </w:r>
      <w:r w:rsidR="00166F5E" w:rsidRPr="006653A2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óm nhà đầu tư toàn cầu</w:t>
      </w:r>
      <w:r w:rsidR="00166F5E" w:rsidRPr="00166F5E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cũng như mở rộng</w:t>
      </w:r>
      <w:r w:rsidR="00780D55" w:rsidRPr="00780D55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số lượng nhà đầu tư trong nước</w:t>
      </w:r>
      <w:r w:rsidR="00166F5E" w:rsidRPr="006653A2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cũng </w:t>
      </w:r>
      <w:r w:rsidR="00780D55" w:rsidRPr="00780D55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rất đáng khích lệ.</w:t>
      </w:r>
    </w:p>
    <w:p w14:paraId="059B26C4" w14:textId="2176908A" w:rsidR="00585086" w:rsidRPr="00634EDC" w:rsidRDefault="00011FB5" w:rsidP="009B2C1D">
      <w:pPr>
        <w:spacing w:line="276" w:lineRule="auto"/>
        <w:jc w:val="both"/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</w:pPr>
      <w:r w:rsidRPr="00634EDC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  <w:t xml:space="preserve">Dữ liệu tháng 1: Biến động </w:t>
      </w:r>
      <w:r w:rsidR="00780D55">
        <w:rPr>
          <w:rFonts w:ascii="Calibri" w:hAnsi="Calibri" w:cs="Calibri"/>
          <w:b/>
          <w:bCs/>
          <w:noProof/>
          <w:color w:val="000000" w:themeColor="text1"/>
          <w:sz w:val="20"/>
          <w:szCs w:val="20"/>
        </w:rPr>
        <w:t>do</w:t>
      </w:r>
      <w:r w:rsidRPr="00634EDC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  <w:t xml:space="preserve"> Tết</w:t>
      </w:r>
    </w:p>
    <w:p w14:paraId="23951C80" w14:textId="16EDA4A6" w:rsidR="00011FB5" w:rsidRPr="00634EDC" w:rsidRDefault="00011FB5" w:rsidP="00217F38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Đừng để</w:t>
      </w:r>
      <w:r w:rsidR="0089627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những biến động do Tết </w:t>
      </w:r>
      <w:r w:rsidR="00241E67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làm lu mờ</w:t>
      </w:r>
      <w:r w:rsidR="0089627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bức tranh kinh tế trong tháng 1 của Việt Nam. </w:t>
      </w:r>
      <w:r w:rsidR="009538EA" w:rsidRPr="009538E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Mặc dù xuất khẩu giảm trong tháng 1, mức giảm vừa phải này chủ yếu </w:t>
      </w:r>
      <w:r w:rsidR="00563B90" w:rsidRPr="00563B90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phản ánh những biến động </w:t>
      </w:r>
      <w:r w:rsidR="00705519" w:rsidRPr="00705519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do</w:t>
      </w:r>
      <w:r w:rsidR="00563B90" w:rsidRPr="00563B90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Tết, </w:t>
      </w:r>
      <w:r w:rsidR="0089627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khi các nhà máy đã đóng cửa nghỉ </w:t>
      </w:r>
      <w:r w:rsidR="00241E67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lễ</w:t>
      </w:r>
      <w:r w:rsidR="0089627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dài hơn bình thường. Thuế quan vẫn là </w:t>
      </w:r>
      <w:r w:rsidR="00D27C5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từ khóa phổ biến</w:t>
      </w:r>
      <w:r w:rsidR="0089627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</w:t>
      </w:r>
      <w:r w:rsidR="00D27C5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song</w:t>
      </w:r>
      <w:r w:rsidR="0089627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còn quá sớm để đưa ra những </w:t>
      </w:r>
      <w:r w:rsidR="00D27C5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nhận định cụ thể, </w:t>
      </w:r>
      <w:r w:rsidR="00FD540E" w:rsidRPr="00FD540E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nhất là kh</w:t>
      </w:r>
      <w:r w:rsidR="00FD540E" w:rsidRPr="00900F7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i</w:t>
      </w:r>
      <w:r w:rsidR="00D27C5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bối cảnh còn nhiều bất</w:t>
      </w:r>
      <w:r w:rsidR="0089627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FD540E" w:rsidRPr="00FD540E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định</w:t>
      </w:r>
      <w:r w:rsidR="0089627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FD540E" w:rsidRPr="00FD540E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đối với</w:t>
      </w:r>
      <w:r w:rsidR="00241E67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khu vực</w:t>
      </w:r>
      <w:r w:rsidR="0089627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ASEAN và Việt Nam. </w:t>
      </w:r>
      <w:r w:rsidR="00241E67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Bên cạnh đó</w:t>
      </w:r>
      <w:r w:rsidR="0089627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lạm phát </w:t>
      </w:r>
      <w:r w:rsidR="00900F73" w:rsidRPr="00900F7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có vẻ</w:t>
      </w:r>
      <w:r w:rsidR="00D27C5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89627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đáng lo ngại</w:t>
      </w:r>
      <w:r w:rsidR="00D27C5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khi </w:t>
      </w:r>
      <w:r w:rsidR="0089627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tăng lên 3,6% so với cùng kỳ năm trước. Tuy nhiên, chúng tôi tin rằng </w:t>
      </w:r>
      <w:r w:rsidR="00D12D27" w:rsidRPr="00D12D27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có ít cơ sở để phải lo lắng về </w:t>
      </w:r>
      <w:r w:rsidR="00217F38" w:rsidRPr="00217F3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diễn biến lạm phát, </w:t>
      </w:r>
      <w:r w:rsidR="0089627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vì rủi ro </w:t>
      </w:r>
      <w:r w:rsidR="00CE1287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gia tăng</w:t>
      </w:r>
      <w:r w:rsidR="0089627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có </w:t>
      </w:r>
      <w:r w:rsidR="000F222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khả năng </w:t>
      </w:r>
      <w:r w:rsidR="00217F38" w:rsidRPr="00217F3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chỉ </w:t>
      </w:r>
      <w:r w:rsidR="000F222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mang tính thời vụ</w:t>
      </w:r>
      <w:r w:rsidR="0089627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.</w:t>
      </w:r>
    </w:p>
    <w:p w14:paraId="382AD328" w14:textId="77777777" w:rsidR="00D670C8" w:rsidRPr="00D670C8" w:rsidRDefault="00D670C8" w:rsidP="00D670C8">
      <w:pPr>
        <w:rPr>
          <w:rFonts w:cstheme="minorHAnsi"/>
          <w:b/>
          <w:lang w:val="vi-VN"/>
        </w:rPr>
      </w:pPr>
      <w:r w:rsidRPr="00D670C8">
        <w:rPr>
          <w:rFonts w:cstheme="minorHAnsi"/>
          <w:b/>
          <w:lang w:val="vi-VN"/>
        </w:rPr>
        <w:t>Bảng 1. Tóm lược các chỉ số kinh tế chính gần đây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620"/>
        <w:gridCol w:w="1620"/>
        <w:gridCol w:w="1880"/>
      </w:tblGrid>
      <w:tr w:rsidR="00D670C8" w:rsidRPr="00820E92" w14:paraId="3BDBFE3A" w14:textId="77777777" w:rsidTr="006F5221">
        <w:tc>
          <w:tcPr>
            <w:tcW w:w="4230" w:type="dxa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5DF37F25" w14:textId="77777777" w:rsidR="00D670C8" w:rsidRPr="00D670C8" w:rsidRDefault="00D670C8" w:rsidP="006F5221">
            <w:pPr>
              <w:rPr>
                <w:rFonts w:cstheme="minorHAnsi"/>
                <w:b/>
                <w:lang w:val="vi-V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0000"/>
              <w:right w:val="nil"/>
            </w:tcBorders>
            <w:hideMark/>
          </w:tcPr>
          <w:p w14:paraId="61619192" w14:textId="795EBD7B" w:rsidR="00D670C8" w:rsidRPr="00C20A9B" w:rsidRDefault="00D670C8" w:rsidP="006F5221">
            <w:pPr>
              <w:jc w:val="right"/>
              <w:rPr>
                <w:rFonts w:cstheme="minorHAnsi"/>
                <w:b/>
              </w:rPr>
            </w:pPr>
            <w:r w:rsidRPr="00820E92">
              <w:rPr>
                <w:rFonts w:cstheme="minorHAnsi"/>
                <w:b/>
              </w:rPr>
              <w:t xml:space="preserve">Tháng </w:t>
            </w:r>
            <w:r>
              <w:rPr>
                <w:rFonts w:cstheme="minorHAnsi"/>
                <w:b/>
              </w:rPr>
              <w:t>11</w:t>
            </w:r>
            <w:r w:rsidRPr="00820E92">
              <w:rPr>
                <w:rFonts w:cstheme="minorHAnsi"/>
                <w:b/>
              </w:rPr>
              <w:t>/202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C00000"/>
              <w:right w:val="nil"/>
            </w:tcBorders>
            <w:hideMark/>
          </w:tcPr>
          <w:p w14:paraId="771A73CA" w14:textId="5DC8BD52" w:rsidR="00D670C8" w:rsidRPr="005B2F4D" w:rsidRDefault="00D670C8" w:rsidP="006F5221">
            <w:pPr>
              <w:jc w:val="right"/>
              <w:rPr>
                <w:rFonts w:cstheme="minorHAnsi"/>
                <w:b/>
              </w:rPr>
            </w:pPr>
            <w:r w:rsidRPr="00820E92">
              <w:rPr>
                <w:rFonts w:cstheme="minorHAnsi"/>
                <w:b/>
              </w:rPr>
              <w:t xml:space="preserve">Tháng </w:t>
            </w:r>
            <w:r>
              <w:rPr>
                <w:rFonts w:cstheme="minorHAnsi"/>
                <w:b/>
              </w:rPr>
              <w:t>12</w:t>
            </w:r>
            <w:r w:rsidRPr="00820E92">
              <w:rPr>
                <w:rFonts w:cstheme="minorHAnsi"/>
                <w:b/>
              </w:rPr>
              <w:t>/202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C00000"/>
              <w:right w:val="nil"/>
            </w:tcBorders>
            <w:hideMark/>
          </w:tcPr>
          <w:p w14:paraId="4CD8FFD9" w14:textId="5D1E791F" w:rsidR="00D670C8" w:rsidRPr="007632D6" w:rsidRDefault="00D670C8" w:rsidP="006F5221">
            <w:pPr>
              <w:jc w:val="right"/>
              <w:rPr>
                <w:rFonts w:cstheme="minorHAnsi"/>
                <w:b/>
              </w:rPr>
            </w:pPr>
            <w:r w:rsidRPr="00820E92">
              <w:rPr>
                <w:rFonts w:cstheme="minorHAnsi"/>
                <w:b/>
              </w:rPr>
              <w:t xml:space="preserve">Tháng </w:t>
            </w:r>
            <w:r>
              <w:rPr>
                <w:rFonts w:cstheme="minorHAnsi"/>
                <w:b/>
              </w:rPr>
              <w:t>1</w:t>
            </w:r>
            <w:r w:rsidRPr="00820E92">
              <w:rPr>
                <w:rFonts w:cstheme="minorHAnsi"/>
                <w:b/>
              </w:rPr>
              <w:t>/202</w:t>
            </w:r>
            <w:r>
              <w:rPr>
                <w:rFonts w:cstheme="minorHAnsi"/>
                <w:b/>
              </w:rPr>
              <w:t>5</w:t>
            </w:r>
          </w:p>
        </w:tc>
      </w:tr>
      <w:tr w:rsidR="00D670C8" w:rsidRPr="00820E92" w14:paraId="293E43D7" w14:textId="77777777" w:rsidTr="006F5221">
        <w:tc>
          <w:tcPr>
            <w:tcW w:w="4230" w:type="dxa"/>
            <w:tcBorders>
              <w:top w:val="single" w:sz="4" w:space="0" w:color="C00000"/>
              <w:left w:val="nil"/>
              <w:bottom w:val="nil"/>
              <w:right w:val="nil"/>
            </w:tcBorders>
            <w:hideMark/>
          </w:tcPr>
          <w:p w14:paraId="01B4BB1C" w14:textId="77777777" w:rsidR="00D670C8" w:rsidRPr="00820E92" w:rsidRDefault="00D670C8" w:rsidP="006F5221">
            <w:pPr>
              <w:rPr>
                <w:rFonts w:cstheme="minorHAnsi"/>
              </w:rPr>
            </w:pPr>
            <w:r w:rsidRPr="00820E92">
              <w:rPr>
                <w:rFonts w:cstheme="minorHAnsi"/>
              </w:rPr>
              <w:t>PMI</w:t>
            </w:r>
          </w:p>
        </w:tc>
        <w:tc>
          <w:tcPr>
            <w:tcW w:w="1620" w:type="dxa"/>
            <w:tcBorders>
              <w:top w:val="single" w:sz="4" w:space="0" w:color="C00000"/>
              <w:left w:val="nil"/>
              <w:bottom w:val="nil"/>
              <w:right w:val="nil"/>
            </w:tcBorders>
            <w:hideMark/>
          </w:tcPr>
          <w:p w14:paraId="0D7AD1F4" w14:textId="5FCFDAFE" w:rsidR="00D670C8" w:rsidRPr="003A332B" w:rsidRDefault="00D670C8" w:rsidP="006F522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50,8</w:t>
            </w:r>
          </w:p>
        </w:tc>
        <w:tc>
          <w:tcPr>
            <w:tcW w:w="1620" w:type="dxa"/>
            <w:tcBorders>
              <w:top w:val="single" w:sz="4" w:space="0" w:color="C00000"/>
              <w:left w:val="nil"/>
              <w:bottom w:val="nil"/>
              <w:right w:val="nil"/>
            </w:tcBorders>
            <w:hideMark/>
          </w:tcPr>
          <w:p w14:paraId="3BD53AA3" w14:textId="27B9B96B" w:rsidR="00D670C8" w:rsidRPr="007632D6" w:rsidRDefault="009A68A6" w:rsidP="006F522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="00D670C8">
              <w:rPr>
                <w:rFonts w:cstheme="minorHAnsi"/>
              </w:rPr>
              <w:t>,</w:t>
            </w:r>
            <w:r>
              <w:rPr>
                <w:rFonts w:cstheme="minorHAnsi"/>
              </w:rPr>
              <w:t>8</w:t>
            </w:r>
          </w:p>
        </w:tc>
        <w:tc>
          <w:tcPr>
            <w:tcW w:w="1880" w:type="dxa"/>
            <w:tcBorders>
              <w:top w:val="single" w:sz="4" w:space="0" w:color="C00000"/>
              <w:left w:val="nil"/>
              <w:bottom w:val="nil"/>
              <w:right w:val="nil"/>
            </w:tcBorders>
            <w:hideMark/>
          </w:tcPr>
          <w:p w14:paraId="7E374425" w14:textId="38D57ABB" w:rsidR="00D670C8" w:rsidRPr="00DB07F6" w:rsidRDefault="00D670C8" w:rsidP="006F522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A68A6">
              <w:rPr>
                <w:rFonts w:cstheme="minorHAnsi"/>
              </w:rPr>
              <w:t>8</w:t>
            </w:r>
            <w:r>
              <w:rPr>
                <w:rFonts w:cstheme="minorHAnsi"/>
              </w:rPr>
              <w:t>,</w:t>
            </w:r>
            <w:r w:rsidR="009A68A6">
              <w:rPr>
                <w:rFonts w:cstheme="minorHAnsi"/>
              </w:rPr>
              <w:t>9</w:t>
            </w:r>
          </w:p>
        </w:tc>
      </w:tr>
      <w:tr w:rsidR="00D670C8" w:rsidRPr="00820E92" w14:paraId="46DF9264" w14:textId="77777777" w:rsidTr="006F5221">
        <w:tc>
          <w:tcPr>
            <w:tcW w:w="4230" w:type="dxa"/>
            <w:hideMark/>
          </w:tcPr>
          <w:p w14:paraId="54BD6772" w14:textId="77777777" w:rsidR="00D670C8" w:rsidRPr="00820E92" w:rsidRDefault="00D670C8" w:rsidP="006F5221">
            <w:pPr>
              <w:rPr>
                <w:rFonts w:cstheme="minorHAnsi"/>
              </w:rPr>
            </w:pPr>
            <w:r w:rsidRPr="00820E92">
              <w:rPr>
                <w:rFonts w:cstheme="minorHAnsi"/>
              </w:rPr>
              <w:t>Xuất khẩu (% so với cùng kỳ năm)</w:t>
            </w:r>
          </w:p>
        </w:tc>
        <w:tc>
          <w:tcPr>
            <w:tcW w:w="1620" w:type="dxa"/>
            <w:hideMark/>
          </w:tcPr>
          <w:p w14:paraId="0136602D" w14:textId="6F7CE931" w:rsidR="00D670C8" w:rsidRPr="003C3EFE" w:rsidRDefault="00D670C8" w:rsidP="006F522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8,2</w:t>
            </w:r>
          </w:p>
        </w:tc>
        <w:tc>
          <w:tcPr>
            <w:tcW w:w="1620" w:type="dxa"/>
            <w:hideMark/>
          </w:tcPr>
          <w:p w14:paraId="1E145712" w14:textId="4C659532" w:rsidR="00D670C8" w:rsidRPr="007632D6" w:rsidRDefault="00D670C8" w:rsidP="006F522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A68A6">
              <w:rPr>
                <w:rFonts w:cstheme="minorHAnsi"/>
              </w:rPr>
              <w:t>2</w:t>
            </w:r>
            <w:r>
              <w:rPr>
                <w:rFonts w:cstheme="minorHAnsi"/>
              </w:rPr>
              <w:t>,</w:t>
            </w:r>
            <w:r w:rsidR="009A68A6">
              <w:rPr>
                <w:rFonts w:cstheme="minorHAnsi"/>
              </w:rPr>
              <w:t>8</w:t>
            </w:r>
          </w:p>
        </w:tc>
        <w:tc>
          <w:tcPr>
            <w:tcW w:w="1880" w:type="dxa"/>
            <w:hideMark/>
          </w:tcPr>
          <w:p w14:paraId="0D5D1447" w14:textId="18FBA439" w:rsidR="00D670C8" w:rsidRPr="007632D6" w:rsidRDefault="009A68A6" w:rsidP="006F522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-4</w:t>
            </w:r>
            <w:r w:rsidR="00D670C8">
              <w:rPr>
                <w:rFonts w:cstheme="minorHAnsi"/>
              </w:rPr>
              <w:t>,</w:t>
            </w:r>
            <w:r>
              <w:rPr>
                <w:rFonts w:cstheme="minorHAnsi"/>
              </w:rPr>
              <w:t>3</w:t>
            </w:r>
          </w:p>
        </w:tc>
      </w:tr>
      <w:tr w:rsidR="00D670C8" w:rsidRPr="00820E92" w14:paraId="794F3F5E" w14:textId="77777777" w:rsidTr="006F5221">
        <w:tc>
          <w:tcPr>
            <w:tcW w:w="4230" w:type="dxa"/>
            <w:hideMark/>
          </w:tcPr>
          <w:p w14:paraId="09FFD711" w14:textId="77777777" w:rsidR="00D670C8" w:rsidRPr="00820E92" w:rsidRDefault="00D670C8" w:rsidP="006F5221">
            <w:pPr>
              <w:rPr>
                <w:rFonts w:cstheme="minorHAnsi"/>
              </w:rPr>
            </w:pPr>
            <w:r w:rsidRPr="00820E92">
              <w:rPr>
                <w:rFonts w:cstheme="minorHAnsi"/>
              </w:rPr>
              <w:t>Nhập khẩu (% so với cùng kỳ năm)</w:t>
            </w:r>
          </w:p>
        </w:tc>
        <w:tc>
          <w:tcPr>
            <w:tcW w:w="1620" w:type="dxa"/>
            <w:hideMark/>
          </w:tcPr>
          <w:p w14:paraId="36EA62F8" w14:textId="6F72B4D6" w:rsidR="00D670C8" w:rsidRPr="007632D6" w:rsidRDefault="00300AAE" w:rsidP="006F522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D670C8">
              <w:rPr>
                <w:rFonts w:cstheme="minorHAnsi"/>
              </w:rPr>
              <w:t>,</w:t>
            </w:r>
            <w:r>
              <w:rPr>
                <w:rFonts w:cstheme="minorHAnsi"/>
              </w:rPr>
              <w:t>8</w:t>
            </w:r>
          </w:p>
        </w:tc>
        <w:tc>
          <w:tcPr>
            <w:tcW w:w="1620" w:type="dxa"/>
            <w:hideMark/>
          </w:tcPr>
          <w:p w14:paraId="58E39BFC" w14:textId="68677B20" w:rsidR="00D670C8" w:rsidRPr="007632D6" w:rsidRDefault="00D670C8" w:rsidP="006F522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A68A6">
              <w:rPr>
                <w:rFonts w:cstheme="minorHAnsi"/>
              </w:rPr>
              <w:t>9</w:t>
            </w:r>
            <w:r>
              <w:rPr>
                <w:rFonts w:cstheme="minorHAnsi"/>
              </w:rPr>
              <w:t>,</w:t>
            </w:r>
            <w:r w:rsidR="009A68A6">
              <w:rPr>
                <w:rFonts w:cstheme="minorHAnsi"/>
              </w:rPr>
              <w:t>2</w:t>
            </w:r>
          </w:p>
        </w:tc>
        <w:tc>
          <w:tcPr>
            <w:tcW w:w="1880" w:type="dxa"/>
            <w:hideMark/>
          </w:tcPr>
          <w:p w14:paraId="2EE3EEDC" w14:textId="3779F41F" w:rsidR="00D670C8" w:rsidRPr="007632D6" w:rsidRDefault="00221D5F" w:rsidP="006F522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-2</w:t>
            </w:r>
            <w:r w:rsidR="00D670C8">
              <w:rPr>
                <w:rFonts w:cstheme="minorHAnsi"/>
              </w:rPr>
              <w:t>,</w:t>
            </w:r>
            <w:r>
              <w:rPr>
                <w:rFonts w:cstheme="minorHAnsi"/>
              </w:rPr>
              <w:t>6</w:t>
            </w:r>
          </w:p>
        </w:tc>
      </w:tr>
      <w:tr w:rsidR="00D670C8" w:rsidRPr="00820E92" w14:paraId="76205D74" w14:textId="77777777" w:rsidTr="006F5221">
        <w:tc>
          <w:tcPr>
            <w:tcW w:w="4230" w:type="dxa"/>
            <w:hideMark/>
          </w:tcPr>
          <w:p w14:paraId="703EE3FE" w14:textId="77777777" w:rsidR="00D670C8" w:rsidRPr="00820E92" w:rsidRDefault="00D670C8" w:rsidP="006F5221">
            <w:pPr>
              <w:rPr>
                <w:rFonts w:cstheme="minorHAnsi"/>
              </w:rPr>
            </w:pPr>
            <w:r w:rsidRPr="00820E92">
              <w:rPr>
                <w:rFonts w:cstheme="minorHAnsi"/>
              </w:rPr>
              <w:t>CPI (% so với cùng kỳ năm)</w:t>
            </w:r>
          </w:p>
        </w:tc>
        <w:tc>
          <w:tcPr>
            <w:tcW w:w="1620" w:type="dxa"/>
            <w:hideMark/>
          </w:tcPr>
          <w:p w14:paraId="37BD8860" w14:textId="41739B7A" w:rsidR="00D670C8" w:rsidRPr="00914F58" w:rsidRDefault="00300AAE" w:rsidP="006F522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670C8">
              <w:rPr>
                <w:rFonts w:cstheme="minorHAnsi"/>
              </w:rPr>
              <w:t>,</w:t>
            </w:r>
            <w:r>
              <w:rPr>
                <w:rFonts w:cstheme="minorHAnsi"/>
              </w:rPr>
              <w:t>8</w:t>
            </w:r>
          </w:p>
        </w:tc>
        <w:tc>
          <w:tcPr>
            <w:tcW w:w="1620" w:type="dxa"/>
            <w:hideMark/>
          </w:tcPr>
          <w:p w14:paraId="7D25A383" w14:textId="56C01926" w:rsidR="00D670C8" w:rsidRPr="00E54FD8" w:rsidRDefault="009A68A6" w:rsidP="006F522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670C8">
              <w:rPr>
                <w:rFonts w:cstheme="minorHAnsi"/>
              </w:rPr>
              <w:t>,</w:t>
            </w:r>
            <w:r>
              <w:rPr>
                <w:rFonts w:cstheme="minorHAnsi"/>
              </w:rPr>
              <w:t>9</w:t>
            </w:r>
          </w:p>
        </w:tc>
        <w:tc>
          <w:tcPr>
            <w:tcW w:w="1880" w:type="dxa"/>
            <w:hideMark/>
          </w:tcPr>
          <w:p w14:paraId="27FED439" w14:textId="2EA2FD2D" w:rsidR="00D670C8" w:rsidRPr="00C138E5" w:rsidRDefault="00221D5F" w:rsidP="006F522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670C8">
              <w:rPr>
                <w:rFonts w:cstheme="minorHAnsi"/>
              </w:rPr>
              <w:t>,6</w:t>
            </w:r>
          </w:p>
        </w:tc>
      </w:tr>
    </w:tbl>
    <w:p w14:paraId="2C7A6994" w14:textId="77777777" w:rsidR="00D670C8" w:rsidRPr="00820E92" w:rsidRDefault="00D670C8" w:rsidP="00D670C8">
      <w:pPr>
        <w:spacing w:after="0"/>
        <w:rPr>
          <w:rFonts w:cstheme="minorHAnsi"/>
        </w:rPr>
      </w:pPr>
    </w:p>
    <w:p w14:paraId="6F31227D" w14:textId="77777777" w:rsidR="00D670C8" w:rsidRPr="007632D6" w:rsidRDefault="00D670C8" w:rsidP="00D670C8">
      <w:pPr>
        <w:rPr>
          <w:rFonts w:cstheme="minorHAnsi"/>
          <w:sz w:val="18"/>
          <w:szCs w:val="18"/>
        </w:rPr>
      </w:pPr>
      <w:r w:rsidRPr="007632D6">
        <w:rPr>
          <w:rFonts w:cstheme="minorHAnsi"/>
          <w:sz w:val="18"/>
          <w:szCs w:val="18"/>
        </w:rPr>
        <w:t xml:space="preserve">Nguồn: CEIC, </w:t>
      </w:r>
      <w:r>
        <w:rPr>
          <w:rFonts w:cstheme="minorHAnsi"/>
          <w:sz w:val="18"/>
          <w:szCs w:val="18"/>
        </w:rPr>
        <w:t>S&amp;P Global</w:t>
      </w:r>
      <w:r w:rsidRPr="007632D6">
        <w:rPr>
          <w:rFonts w:cstheme="minorHAnsi"/>
          <w:sz w:val="18"/>
          <w:szCs w:val="18"/>
        </w:rPr>
        <w:t>, HSBC</w:t>
      </w:r>
    </w:p>
    <w:p w14:paraId="03C1242A" w14:textId="1576D695" w:rsidR="00297CD3" w:rsidRPr="00634EDC" w:rsidRDefault="00297CD3" w:rsidP="009B2C1D">
      <w:pPr>
        <w:spacing w:line="276" w:lineRule="auto"/>
        <w:jc w:val="both"/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</w:pPr>
      <w:r w:rsidRPr="009E5B49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  <w:lastRenderedPageBreak/>
        <w:t xml:space="preserve">Biểu đồ 1. Tăng trưởng kinh tế Việt Nam chủ yếu được </w:t>
      </w:r>
      <w:r w:rsidR="00A813B3" w:rsidRPr="00E3271E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  <w:t>“bơm</w:t>
      </w:r>
      <w:r w:rsidR="00E3271E" w:rsidRPr="00E3271E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  <w:t xml:space="preserve"> </w:t>
      </w:r>
      <w:r w:rsidR="00F17692" w:rsidRPr="00F17692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  <w:t>vố</w:t>
      </w:r>
      <w:r w:rsidR="00F17692" w:rsidRPr="001F31E7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  <w:t>n</w:t>
      </w:r>
      <w:r w:rsidR="00E3271E" w:rsidRPr="00E3271E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  <w:t xml:space="preserve">” </w:t>
      </w:r>
      <w:r w:rsidR="00ED3ACE" w:rsidRPr="00126BF8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  <w:t>thông qua mở rộng</w:t>
      </w:r>
      <w:r w:rsidRPr="009E5B49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lang w:val="vi-VN"/>
        </w:rPr>
        <w:t xml:space="preserve"> tín dụng ngân hàng</w:t>
      </w:r>
    </w:p>
    <w:p w14:paraId="78EAD834" w14:textId="3FEF5EE0" w:rsidR="009B2C1D" w:rsidRPr="00126BF8" w:rsidRDefault="004B0C7C" w:rsidP="00126BF8">
      <w:pPr>
        <w:spacing w:line="276" w:lineRule="auto"/>
        <w:jc w:val="center"/>
        <w:rPr>
          <w:rFonts w:ascii="Calibri" w:hAnsi="Calibri" w:cs="Calibri"/>
          <w:noProof/>
          <w:color w:val="000000" w:themeColor="text1"/>
          <w:sz w:val="20"/>
          <w:szCs w:val="20"/>
        </w:rPr>
      </w:pP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drawing>
          <wp:inline distT="0" distB="0" distL="0" distR="0" wp14:anchorId="44010525" wp14:editId="4AF5A1A6">
            <wp:extent cx="4487461" cy="2016480"/>
            <wp:effectExtent l="0" t="0" r="8890" b="3175"/>
            <wp:docPr id="537342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3423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8578" cy="203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E4102" w14:textId="5D178E97" w:rsidR="004B0C7C" w:rsidRPr="00634EDC" w:rsidRDefault="00FF32FC" w:rsidP="009B2C1D">
      <w:pPr>
        <w:spacing w:line="276" w:lineRule="auto"/>
        <w:rPr>
          <w:rFonts w:ascii="Calibri" w:hAnsi="Calibri" w:cs="Calibri"/>
          <w:b/>
          <w:bCs/>
          <w:noProof/>
          <w:color w:val="000000" w:themeColor="text1"/>
          <w:lang w:val="vi-VN"/>
        </w:rPr>
      </w:pPr>
      <w:r w:rsidRPr="00126BF8">
        <w:rPr>
          <w:rFonts w:ascii="Calibri" w:hAnsi="Calibri" w:cs="Calibri"/>
          <w:b/>
          <w:bCs/>
          <w:noProof/>
          <w:color w:val="000000" w:themeColor="text1"/>
          <w:lang w:val="vi-VN"/>
        </w:rPr>
        <w:t xml:space="preserve">Câu chuyện </w:t>
      </w:r>
      <w:r w:rsidR="00297CD3" w:rsidRPr="00634EDC">
        <w:rPr>
          <w:rFonts w:ascii="Calibri" w:hAnsi="Calibri" w:cs="Calibri"/>
          <w:b/>
          <w:bCs/>
          <w:noProof/>
          <w:color w:val="000000" w:themeColor="text1"/>
          <w:lang w:val="vi-VN"/>
        </w:rPr>
        <w:t>về vốn</w:t>
      </w:r>
    </w:p>
    <w:p w14:paraId="03C5DC5C" w14:textId="4F030941" w:rsidR="001B4441" w:rsidRPr="008F32D7" w:rsidRDefault="00241807" w:rsidP="00A76D1B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241807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Khi nói đến đầu tư ở Việt Nam, </w:t>
      </w:r>
      <w:r w:rsidR="001B444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chúng ta không thể bỏ qua thị trường vốn </w:t>
      </w:r>
      <w:r w:rsidR="00441A81" w:rsidRPr="00441A81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đang chớm nở </w:t>
      </w:r>
      <w:r w:rsidR="001B444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nơi đây (Biểu đồ 1). Thực tế, Việt Nam là thị trường chứng </w:t>
      </w:r>
      <w:r w:rsidR="00241E67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khoán </w:t>
      </w:r>
      <w:r w:rsidR="001B444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có </w:t>
      </w:r>
      <w:r w:rsidR="00BC6239" w:rsidRPr="00BC6239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kết quả hoạt động</w:t>
      </w:r>
      <w:r w:rsidR="001B444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AB2CAC" w:rsidRPr="00AB2CA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tốt nhấ</w:t>
      </w:r>
      <w:r w:rsidR="00AB2CAC" w:rsidRPr="0029545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</w:t>
      </w:r>
      <w:r w:rsidR="001B444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nhất Đông Nam Á năm 2024. Tuy nhiên, các quý gần đây </w:t>
      </w:r>
      <w:r w:rsidR="00241E67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lại</w:t>
      </w:r>
      <w:r w:rsidR="001B444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ghi nhận sự suy giảm trong dòng vốn đầu tư nước ngoài (Biểu đồ 2). Mặc dù phần lớn bị chi phối bởi các yếu tố vĩ mô, </w:t>
      </w:r>
      <w:r w:rsidR="00B92A5F" w:rsidRPr="00B92A5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hiện tượng</w:t>
      </w:r>
      <w:r w:rsidR="001B444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này</w:t>
      </w:r>
      <w:r w:rsidR="0029545C" w:rsidRPr="0029545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cũng làm dấy lên</w:t>
      </w:r>
      <w:r w:rsidR="001B444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câu hỏi: Liệu có</w:t>
      </w:r>
      <w:r w:rsidR="00B9760B" w:rsidRPr="00B9760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tồn t</w:t>
      </w:r>
      <w:r w:rsidR="00B9760B" w:rsidRPr="006D244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ại</w:t>
      </w:r>
      <w:r w:rsidR="001B444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rào cản nào đang cản trở sự quan tâm và tham gia của </w:t>
      </w:r>
      <w:r w:rsidR="006D244F" w:rsidRPr="006D244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nhà đầu tư </w:t>
      </w:r>
      <w:r w:rsidR="001B444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nước ngoài vào thị trường chứng khoán Việt Nam? </w:t>
      </w:r>
      <w:r w:rsidR="006D244F" w:rsidRPr="006D244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Quả thậ</w:t>
      </w:r>
      <w:r w:rsidR="006D244F" w:rsidRPr="002D56C1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</w:t>
      </w:r>
      <w:r w:rsidR="001B444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,</w:t>
      </w:r>
      <w:r w:rsidR="0029545C" w:rsidRPr="0029545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</w:t>
      </w:r>
      <w:r w:rsidR="0029545C" w:rsidRPr="0093470D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ó</w:t>
      </w:r>
      <w:r w:rsidR="001B444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những thách thức </w:t>
      </w:r>
      <w:r w:rsidR="0029545C" w:rsidRPr="0029545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lớn</w:t>
      </w:r>
      <w:r w:rsidR="001B444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vẫn </w:t>
      </w:r>
      <w:r w:rsidR="00ED7ED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hiện hữu</w:t>
      </w:r>
      <w:r w:rsidR="004074F7" w:rsidRPr="004074F7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8F32D7" w:rsidRPr="008F32D7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chẳ</w:t>
      </w:r>
      <w:r w:rsidR="004074F7" w:rsidRPr="004074F7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ng hạn như </w:t>
      </w:r>
      <w:r w:rsidR="000B023F" w:rsidRPr="000B023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những </w:t>
      </w:r>
      <w:r w:rsidR="00A701FD" w:rsidRPr="00A701FD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rào cản</w:t>
      </w:r>
      <w:r w:rsidR="000B023F" w:rsidRPr="000B023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A76D1B" w:rsidRPr="00A76D1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trong giao dịch và liên quan đến hạ tầng, </w:t>
      </w:r>
      <w:r w:rsidR="001B444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mức độ minh bạch và công bố thông tin của doanh nghiệp còn hạn chế</w:t>
      </w:r>
      <w:r w:rsidR="008F32D7" w:rsidRPr="008F32D7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.</w:t>
      </w:r>
    </w:p>
    <w:p w14:paraId="01DE6C55" w14:textId="2062ACFB" w:rsidR="008447F1" w:rsidRPr="00634EDC" w:rsidRDefault="00DA6768" w:rsidP="009B2C1D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126BF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Tuy nhiên</w:t>
      </w:r>
      <w:r w:rsidR="008447F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những thay đổi </w:t>
      </w:r>
      <w:r w:rsidR="004074F7" w:rsidRPr="00126BF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cũng </w:t>
      </w:r>
      <w:r w:rsidR="008447F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đang diễn ra. </w:t>
      </w:r>
      <w:r w:rsidR="009A79B4" w:rsidRPr="009A79B4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Có hiệu lự</w:t>
      </w:r>
      <w:r w:rsidR="009A79B4" w:rsidRPr="00E826B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</w:t>
      </w:r>
      <w:r w:rsidR="008447F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từ tháng 11/2024, Việt Nam đã chính thức bãi bỏ yêu cầu </w:t>
      </w:r>
      <w:r w:rsidR="00ED7ED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ký quỹ</w:t>
      </w:r>
      <w:r w:rsidR="008447F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trước khi giao dịch chứng khoán (</w:t>
      </w:r>
      <w:r w:rsidR="008447F1" w:rsidRPr="00634EDC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>Bloomberg</w:t>
      </w:r>
      <w:r w:rsidR="008447F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18/9/2024), </w:t>
      </w:r>
      <w:r w:rsidR="00E826BC" w:rsidRPr="00E826B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đáp ứng</w:t>
      </w:r>
      <w:r w:rsidR="008447F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một tiêu chí quan trọng để nâng </w:t>
      </w:r>
      <w:r w:rsidR="00ED7ED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hạng</w:t>
      </w:r>
      <w:r w:rsidR="008447F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từ thị trường cận biên lên thị trường mới nổi, có </w:t>
      </w:r>
      <w:r w:rsidR="00E826BC" w:rsidRPr="00E826B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khả nă</w:t>
      </w:r>
      <w:r w:rsidR="00E826BC" w:rsidRPr="00265F99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ng</w:t>
      </w:r>
      <w:r w:rsidR="00265F99" w:rsidRPr="00265F99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đạt được </w:t>
      </w:r>
      <w:r w:rsidR="008447F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vào cuối năm nay. Việt Nam đã nằm trong danh sách </w:t>
      </w:r>
      <w:r w:rsidR="00265F99" w:rsidRPr="003A188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xem xét</w:t>
      </w:r>
      <w:r w:rsidR="008447F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từ năm 2018. </w:t>
      </w:r>
      <w:r w:rsidR="00ED7ED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Do đó, </w:t>
      </w:r>
      <w:r w:rsidR="003A1888" w:rsidRPr="003A188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nếu chính thức triển khai</w:t>
      </w:r>
      <w:r w:rsidR="008447F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FTSE Russell, một công ty cung cấp chỉ số hàng đầu, ước tính </w:t>
      </w:r>
      <w:r w:rsidR="003A1888" w:rsidRPr="003A188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việc thăng</w:t>
      </w:r>
      <w:r w:rsidR="007049CD" w:rsidRPr="007049CD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hạng</w:t>
      </w:r>
      <w:r w:rsidR="00ED7ED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này </w:t>
      </w:r>
      <w:r w:rsidR="008447F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có thể </w:t>
      </w:r>
      <w:r w:rsidR="005419EC" w:rsidRPr="005419E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thu hút</w:t>
      </w:r>
      <w:r w:rsidR="00632806" w:rsidRPr="00632806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dòng vốn đầu tư nước ngoài trị giá</w:t>
      </w:r>
      <w:r w:rsidR="008447F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5419EC" w:rsidRPr="005419E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khoảng </w:t>
      </w:r>
      <w:r w:rsidR="008447F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6 tỷ</w:t>
      </w:r>
      <w:r w:rsidR="00ED7ED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USD</w:t>
      </w:r>
      <w:r w:rsidR="008447F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, tương đương hơn 1% GDP</w:t>
      </w:r>
      <w:r w:rsidR="002D4C87" w:rsidRPr="00D76BDD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,</w:t>
      </w:r>
      <w:r w:rsidR="008447F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vào Việt Nam (</w:t>
      </w:r>
      <w:r w:rsidR="008447F1" w:rsidRPr="00634EDC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>Nikkei</w:t>
      </w:r>
      <w:r w:rsidR="008447F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, 28/1/2025).</w:t>
      </w:r>
    </w:p>
    <w:p w14:paraId="5623EFE5" w14:textId="0DDE3E67" w:rsidR="008447F1" w:rsidRPr="00634EDC" w:rsidRDefault="008447F1" w:rsidP="009B2C1D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Sau nhiều lần trì hoãn, việc nâng cấp cơ sở hạ tầng giao dịch cuối cùng đã được triển khai khi các </w:t>
      </w:r>
      <w:r w:rsidR="00D76BDD" w:rsidRPr="00D76BDD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cơ quan </w:t>
      </w:r>
      <w:r w:rsidR="00EF34EA" w:rsidRPr="00EF34E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quản lý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EF34EA" w:rsidRPr="00EF34E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đặt mục tiêu v</w:t>
      </w:r>
      <w:r w:rsidR="00EF34EA" w:rsidRPr="003E5419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à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nỗ</w:t>
      </w:r>
      <w:r w:rsidR="00EF34EA" w:rsidRPr="00EF34E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lực thúc đẩy </w:t>
      </w:r>
      <w:r w:rsidR="003E5419" w:rsidRPr="003E5419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triển khai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8C0449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h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ệ thống KRX trong năm nay (</w:t>
      </w:r>
      <w:r w:rsidRPr="00634EDC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>Theinvestor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, 18/12/2024).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765"/>
      </w:tblGrid>
      <w:tr w:rsidR="00634EDC" w:rsidRPr="000F6750" w14:paraId="6886C443" w14:textId="77777777" w:rsidTr="00D33DB8">
        <w:trPr>
          <w:trHeight w:val="980"/>
        </w:trPr>
        <w:tc>
          <w:tcPr>
            <w:tcW w:w="4585" w:type="dxa"/>
          </w:tcPr>
          <w:p w14:paraId="7F761F49" w14:textId="5850CB69" w:rsidR="00F32A8C" w:rsidRPr="00634EDC" w:rsidRDefault="00F32A8C" w:rsidP="00F32A8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Biểu đồ 2: Dù quy mô </w:t>
            </w:r>
            <w:r w:rsidR="008266B4" w:rsidRPr="008266B4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>còn nh</w:t>
            </w:r>
            <w:r w:rsidR="008266B4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>ỏ</w:t>
            </w: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, gần đây đã có dòng vốn </w:t>
            </w:r>
            <w:r w:rsidR="00443691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đi ra </w:t>
            </w: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từ </w:t>
            </w:r>
            <w:r w:rsidR="00430FEC" w:rsidRPr="00430FE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>các nh</w:t>
            </w:r>
            <w:r w:rsidR="00430FE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>à</w:t>
            </w: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 đầu tư nước ngoài</w:t>
            </w:r>
          </w:p>
        </w:tc>
        <w:tc>
          <w:tcPr>
            <w:tcW w:w="4765" w:type="dxa"/>
          </w:tcPr>
          <w:p w14:paraId="719B2927" w14:textId="72D3317E" w:rsidR="00F32A8C" w:rsidRPr="00634EDC" w:rsidRDefault="00F32A8C" w:rsidP="00F32A8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>Biểu đồ 3: Nền kinh tế Việt Nam phụ thuộc lớn vào vốn</w:t>
            </w:r>
            <w:r w:rsidR="00345E45" w:rsidRPr="00345E45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 va</w:t>
            </w:r>
            <w:r w:rsidR="00345E45" w:rsidRPr="009E5B4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>y</w:t>
            </w: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 ngân hàng</w:t>
            </w:r>
          </w:p>
        </w:tc>
      </w:tr>
      <w:tr w:rsidR="00D33DB8" w:rsidRPr="00634EDC" w14:paraId="4BC16300" w14:textId="77777777" w:rsidTr="00D33DB8">
        <w:trPr>
          <w:trHeight w:val="2933"/>
        </w:trPr>
        <w:tc>
          <w:tcPr>
            <w:tcW w:w="4585" w:type="dxa"/>
          </w:tcPr>
          <w:p w14:paraId="15242B5D" w14:textId="24A282D0" w:rsidR="004B0C7C" w:rsidRPr="00634EDC" w:rsidRDefault="004B0C7C" w:rsidP="00D33DB8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  <w:drawing>
                <wp:inline distT="0" distB="0" distL="0" distR="0" wp14:anchorId="09813331" wp14:editId="22F60F81">
                  <wp:extent cx="2563767" cy="1849266"/>
                  <wp:effectExtent l="0" t="0" r="8255" b="0"/>
                  <wp:docPr id="67247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84839" name=""/>
                          <pic:cNvPicPr/>
                        </pic:nvPicPr>
                        <pic:blipFill rotWithShape="1">
                          <a:blip r:embed="rId9"/>
                          <a:srcRect r="49670"/>
                          <a:stretch/>
                        </pic:blipFill>
                        <pic:spPr bwMode="auto">
                          <a:xfrm>
                            <a:off x="0" y="0"/>
                            <a:ext cx="2569860" cy="1853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14:paraId="27A04D47" w14:textId="2941E944" w:rsidR="004B0C7C" w:rsidRPr="00634EDC" w:rsidRDefault="004B0C7C" w:rsidP="00D33DB8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  <w:drawing>
                <wp:inline distT="0" distB="0" distL="0" distR="0" wp14:anchorId="609EAEF1" wp14:editId="33192CC5">
                  <wp:extent cx="2428446" cy="1809752"/>
                  <wp:effectExtent l="0" t="0" r="0" b="0"/>
                  <wp:docPr id="266595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84839" name=""/>
                          <pic:cNvPicPr/>
                        </pic:nvPicPr>
                        <pic:blipFill rotWithShape="1">
                          <a:blip r:embed="rId9"/>
                          <a:srcRect l="51286"/>
                          <a:stretch/>
                        </pic:blipFill>
                        <pic:spPr bwMode="auto">
                          <a:xfrm>
                            <a:off x="0" y="0"/>
                            <a:ext cx="2446575" cy="1823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31C93B" w14:textId="77777777" w:rsidR="004B0C7C" w:rsidRPr="00634EDC" w:rsidRDefault="004B0C7C" w:rsidP="009B2C1D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34EDC" w:rsidRPr="000F6750" w14:paraId="5600E6F9" w14:textId="77777777" w:rsidTr="00D33DB8">
        <w:trPr>
          <w:trHeight w:val="683"/>
        </w:trPr>
        <w:tc>
          <w:tcPr>
            <w:tcW w:w="4675" w:type="dxa"/>
          </w:tcPr>
          <w:p w14:paraId="28723FC4" w14:textId="4C470843" w:rsidR="00F32A8C" w:rsidRPr="00634EDC" w:rsidRDefault="00F32A8C" w:rsidP="009B2C1D">
            <w:pPr>
              <w:spacing w:line="276" w:lineRule="auto"/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Biểu đồ 4: Nền kinh tế </w:t>
            </w:r>
            <w:r w:rsidR="00CB16CA"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>rất</w:t>
            </w: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 nhạy cảm với những thay đổi </w:t>
            </w:r>
            <w:r w:rsidR="00827DDE" w:rsidRPr="00126BF8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trong </w:t>
            </w:r>
            <w:r w:rsidR="001F31E7" w:rsidRPr="00126BF8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>điều kiện</w:t>
            </w: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 tài chính</w:t>
            </w:r>
          </w:p>
        </w:tc>
        <w:tc>
          <w:tcPr>
            <w:tcW w:w="4675" w:type="dxa"/>
          </w:tcPr>
          <w:p w14:paraId="42050796" w14:textId="0719D09D" w:rsidR="00CB16CA" w:rsidRPr="00634EDC" w:rsidRDefault="00CB16CA" w:rsidP="009B2C1D">
            <w:pPr>
              <w:spacing w:line="276" w:lineRule="auto"/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Biểu đồ 5: Tăng trưởng tín dụng chậm lại, đặc biệt là </w:t>
            </w:r>
            <w:r w:rsidR="00710E7C" w:rsidRPr="00126BF8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trong lĩnh vực </w:t>
            </w: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dịch vụ, </w:t>
            </w:r>
            <w:r w:rsidR="00ED7EDD"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trong </w:t>
            </w: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năm 2023 </w:t>
            </w:r>
          </w:p>
        </w:tc>
      </w:tr>
      <w:tr w:rsidR="00D33DB8" w:rsidRPr="00634EDC" w14:paraId="1222F505" w14:textId="77777777" w:rsidTr="00D33DB8">
        <w:tc>
          <w:tcPr>
            <w:tcW w:w="4675" w:type="dxa"/>
          </w:tcPr>
          <w:p w14:paraId="7BA9C45B" w14:textId="2117AC27" w:rsidR="004B0C7C" w:rsidRPr="00634EDC" w:rsidRDefault="009B2C1D" w:rsidP="009B2C1D">
            <w:pPr>
              <w:spacing w:line="276" w:lineRule="auto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  <w:drawing>
                <wp:inline distT="0" distB="0" distL="0" distR="0" wp14:anchorId="243409E5" wp14:editId="1DDE8563">
                  <wp:extent cx="2562162" cy="1894114"/>
                  <wp:effectExtent l="0" t="0" r="0" b="0"/>
                  <wp:docPr id="10531598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15987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594" cy="190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ADED876" w14:textId="3BBDBECF" w:rsidR="004B0C7C" w:rsidRPr="00634EDC" w:rsidRDefault="009B2C1D" w:rsidP="009B2C1D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  <w:drawing>
                <wp:inline distT="0" distB="0" distL="0" distR="0" wp14:anchorId="794DE75C" wp14:editId="6818373F">
                  <wp:extent cx="2383972" cy="1813381"/>
                  <wp:effectExtent l="0" t="0" r="0" b="0"/>
                  <wp:docPr id="5921732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17325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484" cy="182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139548" w14:textId="7E3A207C" w:rsidR="004B0C7C" w:rsidRPr="00634EDC" w:rsidRDefault="004B0C7C" w:rsidP="009B2C1D">
      <w:pPr>
        <w:spacing w:line="276" w:lineRule="auto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</w:p>
    <w:p w14:paraId="4D8514B5" w14:textId="21014779" w:rsidR="00CB16CA" w:rsidRPr="00634EDC" w:rsidRDefault="00D62F1B" w:rsidP="00FC5D59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D62F1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Sự chú trọng này đặc biệt có ý nghĩa với Việt Nam, một quốc gia đi sau so với </w:t>
      </w:r>
      <w:r w:rsidR="00FC5D59" w:rsidRPr="00FC5D59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các láng giềng ASEAN xét về mức độ phát </w:t>
      </w:r>
      <w:r w:rsidR="00CB16C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triển thị trường chứng khoán (Biểu đồ 3). </w:t>
      </w:r>
      <w:r w:rsidR="00FC5D59" w:rsidRPr="00FC5D59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Ngược </w:t>
      </w:r>
      <w:r w:rsidR="00FC5D59" w:rsidRPr="00D04995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lại</w:t>
      </w:r>
      <w:r w:rsidR="00CB16C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tín dụng ngân hàng đã tăng đáng kể so với quy mô nền kinh tế, cho thấy </w:t>
      </w:r>
      <w:r w:rsidR="00ED7ED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đây vẫn là</w:t>
      </w:r>
      <w:r w:rsidR="00CB16C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yếu tố chính hỗ trợ </w:t>
      </w:r>
      <w:r w:rsidR="00D04995" w:rsidRPr="00D04995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xu hướng</w:t>
      </w:r>
      <w:r w:rsidR="00CB16C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tăng trưởng cao của Việt Nam trong những năm qua.</w:t>
      </w:r>
    </w:p>
    <w:p w14:paraId="6CC315AE" w14:textId="4D70B601" w:rsidR="00CB16CA" w:rsidRPr="00634EDC" w:rsidRDefault="00CB16CA" w:rsidP="001E71E8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Tuy nhiên, </w:t>
      </w:r>
      <w:r w:rsidR="00F17844" w:rsidRPr="00F17844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mức độ</w:t>
      </w:r>
      <w:r w:rsidR="00ED7ED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phụ thuộc </w:t>
      </w:r>
      <w:r w:rsidR="004C776F" w:rsidRPr="004C776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nhiều</w:t>
      </w:r>
      <w:r w:rsidR="00ED7ED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vào tín dụng có thể</w:t>
      </w:r>
      <w:r w:rsidR="004C776F" w:rsidRPr="004C776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dẫn đến</w:t>
      </w:r>
      <w:r w:rsidR="000D780D" w:rsidRPr="000D780D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việc </w:t>
      </w:r>
      <w:r w:rsidR="00C96D84" w:rsidRPr="00C96D84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những điều chỉnh về mặt kinh tế</w:t>
      </w:r>
      <w:r w:rsidR="00373DDB" w:rsidRPr="00373DD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gia tăng tác động theo hướng bất lợi</w:t>
      </w:r>
      <w:r w:rsidR="004028EA" w:rsidRPr="004028E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chẳng hạn như khi chi phí </w:t>
      </w:r>
      <w:r w:rsidR="001A209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đi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vay tăng vào cuối năm 2022. Khi </w:t>
      </w:r>
      <w:r w:rsidR="009E14E6" w:rsidRPr="009E14E6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nền kinh tế trải qu</w:t>
      </w:r>
      <w:r w:rsidR="009E14E6" w:rsidRPr="00DA2DB6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a</w:t>
      </w:r>
      <w:r w:rsidR="00DA2DB6" w:rsidRPr="00DA2DB6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một đợt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lạm phát ngay sau đại dịch và Ngân hàng Nhà nước Việt Nam (NHNN) </w:t>
      </w:r>
      <w:r w:rsidR="001A209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ứng phó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bằng cách thắt chặt chính sách tiền tệ, tăng trưởng tín dụng </w:t>
      </w:r>
      <w:r w:rsidR="006B6EBF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đã </w:t>
      </w:r>
      <w:r w:rsidR="001A209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giảm m</w:t>
      </w:r>
      <w:r w:rsidR="006B6EBF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ạnh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4131F3" w:rsidRPr="004131F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khi</w:t>
      </w:r>
      <w:r w:rsidR="00917903" w:rsidRPr="0091790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áp lực </w:t>
      </w:r>
      <w:r w:rsidR="004131F3" w:rsidRPr="004131F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len lỏi v</w:t>
      </w:r>
      <w:r w:rsidR="004131F3" w:rsidRPr="00B955DD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ào</w:t>
      </w:r>
      <w:r w:rsidR="00917903" w:rsidRPr="0091790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nhiều</w:t>
      </w:r>
      <w:r w:rsidR="001E71E8" w:rsidRPr="001E71E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lĩnh vực kinh tế trong nước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(Biểu đồ 4), đặc biệt là ngân hàng và bất động sản, </w:t>
      </w:r>
      <w:r w:rsidR="00D575AE" w:rsidRPr="00D575AE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thuộ</w:t>
      </w:r>
      <w:r w:rsidR="00D575AE" w:rsidRPr="004131F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</w:t>
      </w:r>
      <w:r w:rsidR="006B6EBF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nhóm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các dịch vụ khác</w:t>
      </w:r>
      <w:r w:rsidR="006B6EBF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(Biểu đồ 5).</w:t>
      </w:r>
    </w:p>
    <w:p w14:paraId="20AA2629" w14:textId="11019F77" w:rsidR="006B6EBF" w:rsidRPr="00634EDC" w:rsidRDefault="006B6EBF" w:rsidP="00615E1A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Trong bối cảnh </w:t>
      </w:r>
      <w:r w:rsidR="000E449B" w:rsidRPr="00EA6311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đó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</w:t>
      </w:r>
      <w:r w:rsidR="000E449B" w:rsidRPr="00EA6311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những </w:t>
      </w:r>
      <w:r w:rsidR="00EA6311" w:rsidRPr="00EA6311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diễn biến chính sách nhằm cải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thiện thị trường vốn không chỉ</w:t>
      </w:r>
      <w:r w:rsidR="004178C6" w:rsidRPr="004178C6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giúp </w:t>
      </w:r>
      <w:r w:rsidR="000F57C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Việt Nam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bắt kịp các thị trường khác mà còn </w:t>
      </w:r>
      <w:r w:rsidR="007D362F" w:rsidRPr="007D362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nhằm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đa dạng hóa và mở rộng các kênh huy động vốn</w:t>
      </w:r>
      <w:r w:rsidR="00FD0815" w:rsidRPr="00FD0815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7D362F" w:rsidRPr="007D362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</w:t>
      </w:r>
      <w:r w:rsidR="007D362F" w:rsidRPr="000C1E1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ể</w:t>
      </w:r>
      <w:r w:rsidR="00FD0815" w:rsidRPr="00FD0815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730ADF" w:rsidRPr="00730AD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tạo sức bền </w:t>
      </w:r>
      <w:r w:rsidR="000C1E13" w:rsidRPr="000C1E1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tài chín</w:t>
      </w:r>
      <w:r w:rsidR="000C1E13" w:rsidRPr="002416C0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h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. Mặc dù thị trường </w:t>
      </w:r>
      <w:r w:rsidR="002416C0" w:rsidRPr="002416C0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cổ phiếu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có quy mô lớn hơn so với thị trường trái phiếu, 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lượng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vốn thực tế huy động 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qua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thị trường cổ phiếu chỉ chiếm khoảng 10% 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tổng lượng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vốn huy động 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qua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thị trường trái phiếu doanh nghiệp trong giai đoạn 2019-23 (</w:t>
      </w:r>
      <w:r w:rsidRPr="00634EDC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>Ngân hàng Thế giới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, 23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/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8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/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2024). </w:t>
      </w:r>
      <w:r w:rsidR="0040467F" w:rsidRPr="0040467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Sự thống lĩnh của ngành ngân hàng cũng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được </w:t>
      </w:r>
      <w:r w:rsidR="000F57C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thể hiện rõ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trên </w:t>
      </w:r>
      <w:r w:rsidR="000F57C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hai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thị trường này, </w:t>
      </w:r>
      <w:r w:rsidR="0040467F" w:rsidRPr="0040467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ở đó, </w:t>
      </w:r>
      <w:r w:rsidR="0008191C" w:rsidRPr="0008191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ngành ngân hàng có truyền thống và tiếp tục</w:t>
      </w:r>
      <w:r w:rsidR="003F6D3C" w:rsidRPr="003F6D3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chiếm phần lớn</w:t>
      </w:r>
      <w:r w:rsidR="00615E1A" w:rsidRPr="00615E1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trong </w:t>
      </w:r>
      <w:r w:rsidR="00443691" w:rsidRPr="00126BF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các đợt </w:t>
      </w:r>
      <w:r w:rsidR="00615E1A" w:rsidRPr="00615E1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phát hành trái phiếu doanh nghiệp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(Biểu đồ 6). Các 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ngành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khác, như sản xuất và bán lẻ, 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lại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đối mặt với nhiều thách thức hơn trong việc tiếp cận các nguồn 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vốn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ngoài tín dụng ngân hàng, 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có thể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hạn chế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khả năng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phân bổ vốn hiệu quả và 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kìm hãm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hoạt động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kinh </w:t>
      </w:r>
      <w:r w:rsidR="00D04D21" w:rsidRPr="00D04D21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doan</w:t>
      </w:r>
      <w:r w:rsidR="00D04D21" w:rsidRPr="00C56CD7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h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.</w:t>
      </w:r>
    </w:p>
    <w:p w14:paraId="14DA8913" w14:textId="6A010A83" w:rsidR="009B2C1D" w:rsidRPr="00126BF8" w:rsidRDefault="00C56CD7" w:rsidP="009B2C1D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C56CD7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Điều may mắn l</w:t>
      </w:r>
      <w:r w:rsidRPr="003244E2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à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chính phủ đã có những bước đi </w:t>
      </w:r>
      <w:r w:rsidR="007125A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nhằm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giải quyết </w:t>
      </w:r>
      <w:r w:rsidR="003244E2" w:rsidRPr="003244E2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một số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thách thức và rủi ro </w:t>
      </w:r>
      <w:r w:rsidR="007125A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xung quanh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thị trường vốn. Sau </w:t>
      </w:r>
      <w:r w:rsidR="000F57C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giai đoạn đầy biến động của thị trường trái phiếu doanh nghiệp vào cuối năm 2022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</w:t>
      </w:r>
      <w:r w:rsidR="003244E2" w:rsidRPr="003244E2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các cơ quan quản l</w:t>
      </w:r>
      <w:r w:rsidR="003244E2" w:rsidRPr="00A14BF9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ý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đã </w:t>
      </w:r>
      <w:r w:rsidR="000F57C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triển khai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nhiều biện pháp bảo vệ </w:t>
      </w:r>
      <w:r w:rsidR="000F57C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nhằm </w:t>
      </w:r>
      <w:r w:rsidR="00A14BF9" w:rsidRPr="00A14BF9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xoa dịu những lo lắng của</w:t>
      </w:r>
      <w:r w:rsidR="007125A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các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nhà đầu tư, chẳng hạn như</w:t>
      </w:r>
      <w:r w:rsidR="000F57C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quy định</w:t>
      </w:r>
      <w:r w:rsidR="00365889" w:rsidRPr="00365889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chỉ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443691" w:rsidRPr="00126BF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cho phép </w:t>
      </w:r>
      <w:r w:rsidR="0044369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các nhà đầu tư chuyên nghiệp được</w:t>
      </w:r>
      <w:r w:rsidR="00365889" w:rsidRPr="00365889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tham gia</w:t>
      </w:r>
      <w:r w:rsidR="00443691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giao dịch </w:t>
      </w:r>
      <w:r w:rsidR="007125A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trái phiếu doanh nghiệp riêng lẻ 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(</w:t>
      </w:r>
      <w:r w:rsidR="00976C1B" w:rsidRPr="00634EDC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>Theinvestor</w:t>
      </w:r>
      <w:r w:rsidR="00976C1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, 29/11/2024).</w:t>
      </w:r>
    </w:p>
    <w:p w14:paraId="60E7F176" w14:textId="77777777" w:rsidR="00126BF8" w:rsidRPr="00365889" w:rsidRDefault="00126BF8" w:rsidP="009B2C1D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</w:p>
    <w:p w14:paraId="1FB7CF95" w14:textId="77777777" w:rsidR="00126BF8" w:rsidRPr="00365889" w:rsidRDefault="00126BF8" w:rsidP="009B2C1D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</w:p>
    <w:p w14:paraId="39A3F499" w14:textId="77777777" w:rsidR="00126BF8" w:rsidRPr="00365889" w:rsidRDefault="00126BF8" w:rsidP="009B2C1D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34EDC" w:rsidRPr="000F6750" w14:paraId="7A5418BC" w14:textId="77777777" w:rsidTr="00D33DB8">
        <w:trPr>
          <w:trHeight w:val="728"/>
        </w:trPr>
        <w:tc>
          <w:tcPr>
            <w:tcW w:w="4675" w:type="dxa"/>
          </w:tcPr>
          <w:p w14:paraId="3E1BEFAF" w14:textId="74CBBD84" w:rsidR="007125AA" w:rsidRPr="00634EDC" w:rsidRDefault="007125AA" w:rsidP="009B2C1D">
            <w:pPr>
              <w:spacing w:line="276" w:lineRule="auto"/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lastRenderedPageBreak/>
              <w:t>Biểu đồ 6: Phát hành trái phiếu doanh nghiệp theo ngành</w:t>
            </w:r>
            <w:r w:rsidR="00D93818" w:rsidRPr="000F6750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 trong</w:t>
            </w: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 năm 2024</w:t>
            </w:r>
          </w:p>
        </w:tc>
        <w:tc>
          <w:tcPr>
            <w:tcW w:w="4675" w:type="dxa"/>
          </w:tcPr>
          <w:p w14:paraId="50C6EBE2" w14:textId="164F52B5" w:rsidR="007125AA" w:rsidRPr="00634EDC" w:rsidRDefault="007125AA" w:rsidP="009B2C1D">
            <w:pPr>
              <w:spacing w:line="276" w:lineRule="auto"/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Biểu đồ 7: </w:t>
            </w:r>
            <w:r w:rsidR="00090F41"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>Cơ cấu sở hữu trái phiếu chính phủ tính đến quý 3/2024</w:t>
            </w:r>
          </w:p>
        </w:tc>
      </w:tr>
      <w:tr w:rsidR="00D33DB8" w:rsidRPr="00634EDC" w14:paraId="6F8E3AEA" w14:textId="77777777" w:rsidTr="00D33DB8">
        <w:trPr>
          <w:trHeight w:val="2888"/>
        </w:trPr>
        <w:tc>
          <w:tcPr>
            <w:tcW w:w="4675" w:type="dxa"/>
          </w:tcPr>
          <w:p w14:paraId="0745EA1F" w14:textId="02B83A5C" w:rsidR="009B2C1D" w:rsidRPr="00634EDC" w:rsidRDefault="009B2C1D" w:rsidP="00D33DB8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  <w:drawing>
                <wp:inline distT="0" distB="0" distL="0" distR="0" wp14:anchorId="70A3818F" wp14:editId="17689AF7">
                  <wp:extent cx="2383972" cy="1807205"/>
                  <wp:effectExtent l="0" t="0" r="0" b="3175"/>
                  <wp:docPr id="7363844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38441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743" cy="1813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0336AA0" w14:textId="4CD5E645" w:rsidR="009B2C1D" w:rsidRPr="00634EDC" w:rsidRDefault="009B2C1D" w:rsidP="00D33DB8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  <w:drawing>
                <wp:inline distT="0" distB="0" distL="0" distR="0" wp14:anchorId="44EFC4FA" wp14:editId="43AD8254">
                  <wp:extent cx="2344184" cy="1812834"/>
                  <wp:effectExtent l="0" t="0" r="0" b="0"/>
                  <wp:docPr id="5816476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64760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254" cy="182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833DE" w14:textId="77777777" w:rsidR="009B2C1D" w:rsidRPr="00634EDC" w:rsidRDefault="009B2C1D" w:rsidP="009B2C1D">
      <w:pPr>
        <w:spacing w:line="276" w:lineRule="auto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</w:p>
    <w:p w14:paraId="3E885F2D" w14:textId="3A9C740C" w:rsidR="00090F41" w:rsidRPr="00634EDC" w:rsidRDefault="00090F41" w:rsidP="006653A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Trong khi đó, </w:t>
      </w:r>
      <w:r w:rsidR="002462C4" w:rsidRPr="002462C4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những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cải cách nhằm nâng cao mức độ </w:t>
      </w:r>
      <w:r w:rsidR="00FB223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minh bạch </w:t>
      </w:r>
      <w:r w:rsidR="00FB223E" w:rsidRPr="00FB223E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và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công bố thông tin để</w:t>
      </w:r>
      <w:r w:rsidR="002462C4" w:rsidRPr="002462C4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tạo điều kiện thuận lợi cho nh</w:t>
      </w:r>
      <w:r w:rsidR="006653A2" w:rsidRPr="006653A2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óm nhà đầu tư toàn cầu cũng đang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được triển khai. So với các nước ASEAN đã áp dụng </w:t>
      </w:r>
      <w:r w:rsidR="000E394B" w:rsidRPr="000E394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</w:t>
      </w:r>
      <w:r w:rsidR="00AD522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huẩn mực </w:t>
      </w:r>
      <w:r w:rsidR="000E394B" w:rsidRPr="000E394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B</w:t>
      </w:r>
      <w:r w:rsidR="00AD522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áo cáo </w:t>
      </w:r>
      <w:r w:rsidR="000E394B" w:rsidRPr="000E394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</w:t>
      </w:r>
      <w:r w:rsidR="00AD522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ài chính </w:t>
      </w:r>
      <w:r w:rsidR="000E394B" w:rsidRPr="000E394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Q</w:t>
      </w:r>
      <w:r w:rsidR="00AD522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uốc tế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(IFRS), </w:t>
      </w:r>
      <w:r w:rsidR="00AD522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nhiều doanh nghiệp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6653A2" w:rsidRPr="009F7F0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ở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Việt Nam</w:t>
      </w:r>
      <w:r w:rsidR="00AD522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vẫn chưa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chuyển từ </w:t>
      </w:r>
      <w:r w:rsidR="009F7F0A" w:rsidRPr="009F7F0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huẩn mực </w:t>
      </w:r>
      <w:r w:rsidR="009F7F0A" w:rsidRPr="000E394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K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ế toán Việt Nam (VAS) sang </w:t>
      </w:r>
      <w:r w:rsidR="00822457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I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FRS, dẫn đến </w:t>
      </w:r>
      <w:r w:rsidR="000E394B" w:rsidRPr="000E394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khác biệt</w:t>
      </w:r>
      <w:r w:rsidR="00AD522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trong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định giá. </w:t>
      </w:r>
      <w:r w:rsidR="00FE2ADF" w:rsidRPr="00FE2AD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Điều đáng khích lệ là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năm 2025 là năm then chốt trong kế hoạch chuyển đổi </w:t>
      </w:r>
      <w:r w:rsidR="00AD522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của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chính phủ</w:t>
      </w:r>
      <w:r w:rsidR="00AD522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khi </w:t>
      </w:r>
      <w:r w:rsidR="00AD522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việc áp dụng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IFRS </w:t>
      </w:r>
      <w:r w:rsidR="00AB2C0B" w:rsidRPr="00AB2C0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sẽ chuyển từ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tự nguyện </w:t>
      </w:r>
      <w:r w:rsidR="00AB2C0B" w:rsidRPr="00AB2C0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sang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bắt buộc đối với các công ty đại chúng </w:t>
      </w:r>
      <w:r w:rsidR="00AD522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kể từ </w:t>
      </w:r>
      <w:r w:rsidR="009A6C45" w:rsidRPr="009A6C45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năm nay trở đi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(</w:t>
      </w:r>
      <w:r w:rsidRPr="0042175F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>Vietnam Investment Review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,</w:t>
      </w:r>
      <w:r w:rsidR="00AD522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16</w:t>
      </w:r>
      <w:r w:rsidR="00AD522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/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3</w:t>
      </w:r>
      <w:r w:rsidR="00AD522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/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2022).</w:t>
      </w:r>
    </w:p>
    <w:p w14:paraId="60708C85" w14:textId="57015548" w:rsidR="00680AD3" w:rsidRPr="00A4305E" w:rsidRDefault="003C617D" w:rsidP="009B2C1D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Việc nâng cao tính minh bạch cũng đ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ược </w:t>
      </w:r>
      <w:r w:rsidR="000F57C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đẩy mạnh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0F57C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trong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các lĩnh vực khác của nền kinh tế, chẳng hạn như thị trường bất động sản. Những thay đổi </w:t>
      </w:r>
      <w:r w:rsidR="00557F6E" w:rsidRPr="00557F6E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pháp lý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trong Luật Đất đai năm 2024, Luật Nhà ở năm 2023 và Luật Kinh doanh Bất động sản năm 2023 đã </w:t>
      </w:r>
      <w:r w:rsidR="00624444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góp phần thúc đẩy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dòng vốn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FDI đăng ký 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mới </w:t>
      </w:r>
      <w:r w:rsidR="00557F6E" w:rsidRPr="00557F6E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đổ 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v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ào lĩnh vực này, đạt 4 tỷ </w:t>
      </w:r>
      <w:r w:rsidR="00557F6E" w:rsidRPr="00C74EC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USD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C74EC3" w:rsidRPr="00C74EC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trong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năm 2024, </w:t>
      </w:r>
      <w:r w:rsidR="00C74EC3" w:rsidRPr="00C74EC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tăng lên</w:t>
      </w:r>
      <w:r w:rsidR="00BE496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so với </w:t>
      </w:r>
      <w:r w:rsidR="00C74EC3" w:rsidRPr="00C74EC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mức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1 tỷ </w:t>
      </w:r>
      <w:r w:rsidR="00C74EC3" w:rsidRPr="00C74EC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USD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BE496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của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năm 2023. Những thay đổi đáng chú ý như </w:t>
      </w:r>
      <w:r w:rsidR="00BE496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định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giá đất </w:t>
      </w:r>
      <w:r w:rsidR="00BE496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sát hơn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giá trị thị trường, nới lỏng các quyền </w:t>
      </w:r>
      <w:r w:rsidR="00443691" w:rsidRPr="00126BF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liên quan tới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đất cho người Việt Nam ở nước ngoài và </w:t>
      </w:r>
      <w:r w:rsidR="00BE496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yêu cầu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công bố thông tin chặt chẽ hơn </w:t>
      </w:r>
      <w:r w:rsidR="00BE496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từ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các doanh nghiệp bất động sản </w:t>
      </w:r>
      <w:r w:rsidR="00680AD3" w:rsidRPr="00680AD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sẽ tiếp tục góp phần </w:t>
      </w:r>
      <w:r w:rsidR="00A4305E" w:rsidRPr="00A4305E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vào quá trình </w:t>
      </w:r>
      <w:r w:rsidR="00901240" w:rsidRPr="00901240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phục hồi tâm lý</w:t>
      </w:r>
      <w:r w:rsidR="00A4305E" w:rsidRPr="00A4305E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thị trường.</w:t>
      </w:r>
    </w:p>
    <w:p w14:paraId="22DA7C04" w14:textId="7767A97C" w:rsidR="00411480" w:rsidRPr="00634EDC" w:rsidRDefault="006D574C" w:rsidP="00CF33A7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Bên cạnh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A7631F" w:rsidRPr="00A7631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khuyến khí</w:t>
      </w:r>
      <w:r w:rsidR="00A7631F" w:rsidRPr="003C1B90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ch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sự tham gia của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nhà đầu tư 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nước ngoài vào thị trường vốn, việc mở rộng và đa dạng hóa nhà đầu tư trong nước sẽ là chìa khóa giúp</w:t>
      </w:r>
      <w:r w:rsidR="003D6F96" w:rsidRPr="003D6F96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Việt Nam vững vàn</w:t>
      </w:r>
      <w:r w:rsidR="003D6F96" w:rsidRPr="008B1C66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g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đạt được mục tiêu chính thức</w:t>
      </w:r>
      <w:r w:rsidR="00624444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: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quy mô 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vốn hóa thị trường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cổ phiếu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đạt 120% và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dư nợ 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trái phiếu doanh nghiệp đạt 25% GDP vào năm 2030 (</w:t>
      </w:r>
      <w:r w:rsidR="00411480" w:rsidRPr="00634EDC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>Vietnamplus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, 19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/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2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/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2024). </w:t>
      </w:r>
      <w:r w:rsidR="008B1C66" w:rsidRPr="008B1C66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Quả thật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,</w:t>
      </w:r>
      <w:r w:rsidR="008B1C66" w:rsidRPr="008B1C66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vẫn còn nhiều dư địa để gia tăng sự hiện hiện của các nhà đầu tư </w:t>
      </w:r>
      <w:r w:rsidR="00D037CA" w:rsidRPr="00D037C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tổ chức </w:t>
      </w:r>
      <w:r w:rsidR="008B1C66" w:rsidRPr="008B1C66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trên cả</w:t>
      </w:r>
      <w:r w:rsidR="00674E23" w:rsidRPr="00674E2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hai thị trường này.</w:t>
      </w:r>
      <w:r w:rsidR="00D037CA" w:rsidRPr="00D037C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624444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Chẳng hạn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quỹ an sinh xã hội (VSS) của Việt Nam, ước tính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đang 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nắm giữ</w:t>
      </w:r>
      <w:r w:rsidR="00D379CA" w:rsidRPr="00D379C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tài sản tương đương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hơn 10% GDP,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vẫn chưa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được phép đầu tư vào cổ phiếu và trái phiếu doanh nghiệp</w:t>
      </w:r>
      <w:r w:rsidR="000E404F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trong nước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(</w:t>
      </w:r>
      <w:r w:rsidR="00411480" w:rsidRPr="003145C5">
        <w:rPr>
          <w:rFonts w:ascii="Calibri" w:hAnsi="Calibri" w:cs="Calibri"/>
          <w:i/>
          <w:iCs/>
          <w:noProof/>
          <w:color w:val="000000" w:themeColor="text1"/>
          <w:sz w:val="20"/>
          <w:szCs w:val="20"/>
          <w:lang w:val="vi-VN"/>
        </w:rPr>
        <w:t>Ngân hàng Thế giới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, 23</w:t>
      </w:r>
      <w:r w:rsidR="000E404F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/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8</w:t>
      </w:r>
      <w:r w:rsidR="000E404F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/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2024). </w:t>
      </w:r>
      <w:r w:rsidR="0042339B" w:rsidRPr="0042339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Một phần do thiếu lựa chọn đầu tư, s</w:t>
      </w:r>
      <w:r w:rsidR="00624444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ự hạn chế này 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khiến VSS </w:t>
      </w:r>
      <w:r w:rsidR="000E404F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chủ yếu </w:t>
      </w:r>
      <w:r w:rsidR="00624444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tập trung </w:t>
      </w:r>
      <w:r w:rsidR="00642D63" w:rsidRPr="00642D6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mua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trái phiếu chính phủ, </w:t>
      </w:r>
      <w:r w:rsidR="00461035" w:rsidRPr="00126BF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từ</w:t>
      </w:r>
      <w:r w:rsidR="00461035" w:rsidRPr="00A02B1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A02B1A" w:rsidRPr="00A02B1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đó, quỹ này cùng các ngân hàng</w:t>
      </w:r>
      <w:r w:rsidR="00AA5E20" w:rsidRPr="00AA5E20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nắm </w:t>
      </w:r>
      <w:r w:rsidR="00461035" w:rsidRPr="00126BF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thị trường trái phiếu chính phủ 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(Biểu đồ 7)</w:t>
      </w:r>
      <w:r w:rsidR="007567BA" w:rsidRPr="007567B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và gây nhiễu tín hiệu giá.</w:t>
      </w:r>
      <w:r w:rsidR="00CF33A7" w:rsidRPr="00CF33A7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Do vậy, hoạt động trên các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thị trường vốn Việt Nam </w:t>
      </w:r>
      <w:r w:rsidR="000E404F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có 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tiềm năng </w:t>
      </w:r>
      <w:r w:rsidR="000E404F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phát triển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đáng kể, </w:t>
      </w:r>
      <w:r w:rsidR="00CF33A7" w:rsidRPr="00CF33A7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trong đó,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0E404F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việc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nâng </w:t>
      </w:r>
      <w:r w:rsidR="000E404F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hạng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thị trường chứng khoán </w:t>
      </w:r>
      <w:r w:rsidR="00CF33A7" w:rsidRPr="00CF33A7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mởi </w:t>
      </w:r>
      <w:r w:rsidR="00411480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chỉ là bước khởi đầu.</w:t>
      </w:r>
    </w:p>
    <w:p w14:paraId="2C36C1A3" w14:textId="40610B1F" w:rsidR="009B2C1D" w:rsidRPr="00634EDC" w:rsidRDefault="00B64152" w:rsidP="009B2C1D">
      <w:pPr>
        <w:spacing w:line="276" w:lineRule="auto"/>
        <w:rPr>
          <w:rFonts w:ascii="Calibri" w:hAnsi="Calibri" w:cs="Calibri"/>
          <w:b/>
          <w:bCs/>
          <w:noProof/>
          <w:color w:val="000000" w:themeColor="text1"/>
          <w:lang w:val="vi-VN"/>
        </w:rPr>
      </w:pPr>
      <w:r w:rsidRPr="00634EDC">
        <w:rPr>
          <w:rFonts w:ascii="Calibri" w:hAnsi="Calibri" w:cs="Calibri"/>
          <w:b/>
          <w:bCs/>
          <w:noProof/>
          <w:color w:val="000000" w:themeColor="text1"/>
          <w:lang w:val="vi-VN"/>
        </w:rPr>
        <w:t>Tổng quan</w:t>
      </w:r>
      <w:r w:rsidR="00126BF8" w:rsidRPr="00126BF8">
        <w:rPr>
          <w:rFonts w:ascii="Calibri" w:hAnsi="Calibri" w:cs="Calibri"/>
          <w:b/>
          <w:bCs/>
          <w:noProof/>
          <w:color w:val="000000" w:themeColor="text1"/>
          <w:lang w:val="vi-VN"/>
        </w:rPr>
        <w:t xml:space="preserve"> tình hình</w:t>
      </w:r>
      <w:r w:rsidRPr="00634EDC">
        <w:rPr>
          <w:rFonts w:ascii="Calibri" w:hAnsi="Calibri" w:cs="Calibri"/>
          <w:b/>
          <w:bCs/>
          <w:noProof/>
          <w:color w:val="000000" w:themeColor="text1"/>
          <w:lang w:val="vi-VN"/>
        </w:rPr>
        <w:t xml:space="preserve"> tháng 1</w:t>
      </w:r>
    </w:p>
    <w:p w14:paraId="258DA4E3" w14:textId="643194D0" w:rsidR="00B64152" w:rsidRPr="00634EDC" w:rsidRDefault="00B64152" w:rsidP="009B2C1D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Tết năm nay không chỉ đến sớm vào tháng 1 mà còn kéo dài kỳ nghỉ lên đến chín ngày, nhiều hơn hai ngày so với năm ngoái. Điều này ảnh hưởng đến</w:t>
      </w:r>
      <w:r w:rsidR="007711D7" w:rsidRPr="007711D7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phân tíc</w:t>
      </w:r>
      <w:r w:rsidR="007711D7" w:rsidRPr="00E40FA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h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dữ liệu tháng </w:t>
      </w:r>
      <w:r w:rsidR="0075722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khi nhiều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người lao động về quê ăn Tết. Không </w:t>
      </w:r>
      <w:r w:rsidR="00E40FAF" w:rsidRPr="00E40FA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quá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ngạc nhiên khi doanh số bán lẻ tăng 10% so với cùng kỳ năm trước, cả hàng hóa và dịch vụ đều ghi nhận mức tăng trưởng mạnh</w:t>
      </w:r>
      <w:r w:rsidR="000313AB" w:rsidRPr="000313A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so với cùng kỳ năm trư</w:t>
      </w:r>
      <w:r w:rsidR="000313AB" w:rsidRPr="00A45784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ớc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. Tuy nhiên, xu hướng tiêu dùng cho thấy chi tiêu của Việt Nam vẫn còn dư địa để phục hồi, vì doanh số bán lẻ vẫn thấp hơn 8% so với </w:t>
      </w:r>
      <w:r w:rsidR="00461035" w:rsidRPr="00126BF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tiềm năng do </w:t>
      </w:r>
      <w:r w:rsidR="00A45784" w:rsidRPr="00A45784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xu hướng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tăng trưởng</w:t>
      </w:r>
      <w:r w:rsidR="00461035" w:rsidRPr="00126BF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mang lại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. Chúng </w:t>
      </w:r>
      <w:r w:rsidR="00A45784" w:rsidRPr="00A45784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ta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E7365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sẽ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chờ</w:t>
      </w:r>
      <w:r w:rsidR="00E7365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E7365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lastRenderedPageBreak/>
        <w:t>thêm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dữ liệu tháng 2</w:t>
      </w:r>
      <w:r w:rsidR="00E7365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để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điều chỉnh </w:t>
      </w:r>
      <w:r w:rsidR="00E7365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các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biến động </w:t>
      </w:r>
      <w:r w:rsidR="00E7365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do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Tết</w:t>
      </w:r>
      <w:r w:rsidR="00E7365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từ đó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có cái nhìn </w:t>
      </w:r>
      <w:r w:rsidR="00E7365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rõ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hơn về quỹ đạo phục hồi của nhu cầu trong nước.</w:t>
      </w:r>
    </w:p>
    <w:p w14:paraId="593524C9" w14:textId="6438AF0F" w:rsidR="00B10DFE" w:rsidRPr="00634EDC" w:rsidRDefault="00B10DFE" w:rsidP="007411B2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Về </w:t>
      </w:r>
      <w:r w:rsidR="002E7104" w:rsidRPr="002E7104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lĩnh vực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bên ngoài, </w:t>
      </w:r>
      <w:r w:rsidR="00812C1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thoạt nhìn,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dữ liệu thương mại tháng 1 </w:t>
      </w:r>
      <w:r w:rsidR="00812C1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có phần </w:t>
      </w:r>
      <w:r w:rsidR="002E7104" w:rsidRPr="002E7104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yếu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do </w:t>
      </w:r>
      <w:r w:rsidR="00812C1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nhiều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nhà máy đóng cửa nghỉ lễ. Tuy nhiên, sau khi </w:t>
      </w:r>
      <w:r w:rsidR="0075722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loại trừ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biến động Tết, </w:t>
      </w:r>
      <w:r w:rsidR="00C1021D" w:rsidRPr="00C1021D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xuất khẩu tháng 1 giảm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4,3% so với cùng kỳ năm </w:t>
      </w:r>
      <w:r w:rsidR="00812C1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trước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812C1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được </w:t>
      </w:r>
      <w:r w:rsidR="0075722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đánh giá</w:t>
      </w:r>
      <w:r w:rsidR="00812C1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là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vừa phải. Một </w:t>
      </w:r>
      <w:r w:rsidR="00812C1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điểm </w:t>
      </w:r>
      <w:r w:rsidR="002468A6" w:rsidRPr="002468A6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thú vị </w:t>
      </w:r>
      <w:r w:rsidR="00812C1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đáng chú ý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là </w:t>
      </w:r>
      <w:r w:rsidR="002468A6" w:rsidRPr="002468A6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sự </w:t>
      </w:r>
      <w:r w:rsidR="007411B2" w:rsidRPr="007411B2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phân hóa trong nhóm hàng điện tử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(Biểu đồ 8). Trong những tháng qua,</w:t>
      </w:r>
      <w:r w:rsidR="00812C1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xuất khẩu điện thoại là </w:t>
      </w:r>
      <w:r w:rsidR="0075722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yếu tố</w:t>
      </w:r>
      <w:r w:rsidR="007411B2" w:rsidRPr="007411B2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chính</w:t>
      </w:r>
      <w:r w:rsidR="0075722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cản trở</w:t>
      </w:r>
      <w:r w:rsidR="00812C1D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105E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tăng trưởng</w:t>
      </w:r>
      <w:r w:rsidR="0075722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,</w:t>
      </w:r>
      <w:r w:rsidR="00105E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75722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trong khi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xuất khẩu điện tử máy tính</w:t>
      </w:r>
      <w:r w:rsidR="00105E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lại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là động lực </w:t>
      </w:r>
      <w:r w:rsidR="00A43F2D" w:rsidRPr="00A43F2D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mạnh mẽ cho tăng trưởng xuất khẩu</w:t>
      </w:r>
      <w:r w:rsidR="0075722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.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Tương tự, xu hướng</w:t>
      </w:r>
      <w:r w:rsidR="00105E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75722A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này cũng </w:t>
      </w:r>
      <w:r w:rsidR="00737337" w:rsidRPr="00737337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diễn ra đối với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nhập khẩu, </w:t>
      </w:r>
      <w:r w:rsidR="00105E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do ngành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sản xuất Việt Nam </w:t>
      </w:r>
      <w:r w:rsidR="00105E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còn phụ thuộc nhiều vào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nhập khẩu. </w:t>
      </w:r>
      <w:r w:rsidR="00105E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Với mức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nhập khẩu giảm 2,6% so với cùng kỳ năm trước, tháng 1 </w:t>
      </w:r>
      <w:r w:rsidR="00105E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ghi nhận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​​thặng dư thương mại </w:t>
      </w:r>
      <w:r w:rsidR="00105E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khá lớn, đạt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hơn 3 tỷ </w:t>
      </w:r>
      <w:r w:rsidR="00105E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USD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so với mức trung bình 2 tỷ </w:t>
      </w:r>
      <w:r w:rsidR="00105E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USD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105E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vào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năm 2024.</w:t>
      </w:r>
    </w:p>
    <w:p w14:paraId="447A12B1" w14:textId="77777777" w:rsidR="009B2C1D" w:rsidRPr="00634EDC" w:rsidRDefault="009B2C1D" w:rsidP="009B2C1D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765"/>
      </w:tblGrid>
      <w:tr w:rsidR="00634EDC" w:rsidRPr="000F6750" w14:paraId="6545FB3F" w14:textId="77777777" w:rsidTr="00D33DB8">
        <w:trPr>
          <w:trHeight w:val="710"/>
        </w:trPr>
        <w:tc>
          <w:tcPr>
            <w:tcW w:w="4585" w:type="dxa"/>
          </w:tcPr>
          <w:p w14:paraId="3D907992" w14:textId="6297316D" w:rsidR="00105EEC" w:rsidRPr="00634EDC" w:rsidRDefault="00105EEC" w:rsidP="009B2C1D">
            <w:pPr>
              <w:spacing w:line="276" w:lineRule="auto"/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Biểu đồ 8. Sự phân </w:t>
            </w:r>
            <w:r w:rsidR="00D32C4D" w:rsidRPr="000F6750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>hóa</w:t>
            </w: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 trong xuất khẩu hàng điện tử vẫn </w:t>
            </w:r>
            <w:r w:rsidR="0075722A"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>tiếp diễn</w:t>
            </w:r>
          </w:p>
        </w:tc>
        <w:tc>
          <w:tcPr>
            <w:tcW w:w="4765" w:type="dxa"/>
          </w:tcPr>
          <w:p w14:paraId="6A94B08D" w14:textId="2FCF6338" w:rsidR="00105EEC" w:rsidRPr="00634EDC" w:rsidRDefault="00105EEC" w:rsidP="009B2C1D">
            <w:pPr>
              <w:spacing w:line="276" w:lineRule="auto"/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Biểu đồ 9. Thặng dư thương mại của Việt Nam với Mỹ vượt 100 tỷ USD </w:t>
            </w:r>
            <w:r w:rsidR="00D32C4D" w:rsidRPr="00D32C4D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>trong</w:t>
            </w: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 năm 2024</w:t>
            </w:r>
          </w:p>
        </w:tc>
      </w:tr>
      <w:tr w:rsidR="00D33DB8" w:rsidRPr="00634EDC" w14:paraId="36C2FEB6" w14:textId="77777777" w:rsidTr="00D33DB8">
        <w:tc>
          <w:tcPr>
            <w:tcW w:w="4585" w:type="dxa"/>
          </w:tcPr>
          <w:p w14:paraId="48C47A8D" w14:textId="7D98741C" w:rsidR="009B2C1D" w:rsidRPr="00634EDC" w:rsidRDefault="009B25CB" w:rsidP="00126BF8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  <w:drawing>
                <wp:inline distT="0" distB="0" distL="0" distR="0" wp14:anchorId="5CAB5805" wp14:editId="3CAF3D7E">
                  <wp:extent cx="2551536" cy="1967345"/>
                  <wp:effectExtent l="0" t="0" r="1270" b="0"/>
                  <wp:docPr id="18255053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50537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837" cy="1970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14:paraId="349E44D2" w14:textId="3470F9CF" w:rsidR="009B2C1D" w:rsidRPr="00634EDC" w:rsidRDefault="009B25CB" w:rsidP="00126BF8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  <w:drawing>
                <wp:inline distT="0" distB="0" distL="0" distR="0" wp14:anchorId="6D2C4AD2" wp14:editId="09C015C7">
                  <wp:extent cx="2477358" cy="1852005"/>
                  <wp:effectExtent l="0" t="0" r="0" b="0"/>
                  <wp:docPr id="20634185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41854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017" cy="185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B4DF02" w14:textId="77777777" w:rsidR="009B2C1D" w:rsidRPr="00634EDC" w:rsidRDefault="009B2C1D" w:rsidP="009B2C1D">
      <w:pPr>
        <w:spacing w:line="276" w:lineRule="auto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</w:p>
    <w:p w14:paraId="3DEDF5DA" w14:textId="5E7416CF" w:rsidR="00727BEC" w:rsidRPr="00634EDC" w:rsidRDefault="00FB1489" w:rsidP="007915E4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FB1489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Mặc dù năm 2025 khởi đầu không quá tệ,</w:t>
      </w:r>
      <w:r w:rsidR="00D958F9" w:rsidRPr="00D958F9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rủi ro thuế quan vẫn </w:t>
      </w:r>
      <w:r w:rsidR="002F1C68" w:rsidRPr="002F1C6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phủ m</w:t>
      </w:r>
      <w:r w:rsidR="002F1C68" w:rsidRPr="00DA624E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ột</w:t>
      </w:r>
      <w:r w:rsidR="002F1C68" w:rsidRPr="002F1C6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bóng mây lên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triển vọng thương mại. Như chúng tôi đã đề cập trong các nghiên cứu trước đây, Việt Nam</w:t>
      </w:r>
      <w:r w:rsidR="00AD1B4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là quốc gia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1459F7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đối diện với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rủi ro thuế quan cao nhất trong ASEAN do </w:t>
      </w:r>
      <w:r w:rsidR="001459F7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có 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thặng dư thương mại lớn với Mỹ. </w:t>
      </w:r>
      <w:r w:rsidR="00DA624E" w:rsidRPr="00A3528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Mặc dù vậy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</w:t>
      </w:r>
      <w:r w:rsidR="00A3528C" w:rsidRPr="00A3528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tình hình 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vẫn còn nhiều bất định. </w:t>
      </w:r>
      <w:r w:rsidR="006F531E" w:rsidRPr="006F531E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Sau </w:t>
      </w:r>
      <w:r w:rsidR="00AD1B4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động thái gần đây của </w:t>
      </w:r>
      <w:r w:rsidR="00977D6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Mỹ </w:t>
      </w:r>
      <w:r w:rsidR="006E08BA" w:rsidRPr="006E08B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là </w:t>
      </w:r>
      <w:r w:rsidR="00AD1B4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hoãn việc áp thuế với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Canada và Mexico</w:t>
      </w:r>
      <w:r w:rsidR="00AD1B4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trong 30 ngày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</w:t>
      </w:r>
      <w:r w:rsidR="008F6818" w:rsidRPr="008F681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vấn đề thuế quan </w:t>
      </w:r>
      <w:r w:rsidR="00D01DA1" w:rsidRPr="00D01DA1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lại </w:t>
      </w:r>
      <w:r w:rsidR="008D7FBF" w:rsidRPr="008D7FB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tiếp tục </w:t>
      </w:r>
      <w:r w:rsidR="00D01DA1" w:rsidRPr="00D01DA1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được </w:t>
      </w:r>
      <w:r w:rsidR="00DE673F" w:rsidRPr="00DE673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đưa ra trên bàn đàm phán và các quyết định có thể thay đổi </w:t>
      </w:r>
      <w:r w:rsidR="00461035" w:rsidRPr="00126BF8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một cách nhanh chóng</w:t>
      </w:r>
      <w:r w:rsidR="00E43182" w:rsidRPr="00E43182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.</w:t>
      </w:r>
      <w:r w:rsidR="0063536A" w:rsidRPr="0063536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AB3B29" w:rsidRPr="00AB3B29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Bài toán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977D6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đặt ra cho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Trung Quốc </w:t>
      </w:r>
      <w:r w:rsidR="00F25E70" w:rsidRPr="00F25E70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cũng như</w:t>
      </w:r>
      <w:r w:rsidR="00977D6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các nền kinh tế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châu Á </w:t>
      </w:r>
      <w:r w:rsidR="00F25E70" w:rsidRPr="00F25E70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không giống</w:t>
      </w:r>
      <w:r w:rsidR="00977D6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nhau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. Đối với Trung Quốc, </w:t>
      </w:r>
      <w:r w:rsidR="00AB3B29" w:rsidRPr="007915E4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định hướng </w:t>
      </w:r>
      <w:r w:rsidR="006E08BA" w:rsidRPr="006E08B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chính sách </w:t>
      </w:r>
      <w:r w:rsidR="007915E4" w:rsidRPr="007915E4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dễ dự đoán hơn </w:t>
      </w:r>
      <w:r w:rsidR="006E08BA" w:rsidRPr="006E08BA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nhưng</w:t>
      </w:r>
      <w:r w:rsidR="007915E4" w:rsidRPr="007915E4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977D6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mức độ </w:t>
      </w:r>
      <w:r w:rsidR="00AD1B4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tác độn</w:t>
      </w:r>
      <w:r w:rsidR="00977D6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g lại chưa rõ ràng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. </w:t>
      </w:r>
      <w:r w:rsidR="00977D6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Còn với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các nền kinh tế châu Á khác, đặc biệt là</w:t>
      </w:r>
      <w:r w:rsidR="000A2D77" w:rsidRPr="000A2D77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các quốc gia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ASEAN, câu hỏi đặt ra là liệu rủi ro thuế quan có </w:t>
      </w:r>
      <w:r w:rsidR="00977D6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trở 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thành hiện thực. </w:t>
      </w:r>
      <w:r w:rsidR="00977D6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Bên cạnh đó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</w:t>
      </w:r>
      <w:r w:rsidR="00977D6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một 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câu hỏi đáng cân nhắc</w:t>
      </w:r>
      <w:r w:rsidR="00977D6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khác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là: có bao nhiêu công ty sẵn sàng di chuyển chuỗi cung ứng, </w:t>
      </w:r>
      <w:r w:rsidR="00977D6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vốn </w:t>
      </w:r>
      <w:r w:rsidR="00D22153" w:rsidRPr="00D2215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gây </w:t>
      </w:r>
      <w:r w:rsidR="00F46680" w:rsidRPr="00F46680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</w:t>
      </w:r>
      <w:r w:rsidR="00F46680" w:rsidRPr="00D2215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ốn</w:t>
      </w:r>
      <w:r w:rsidR="00D22153" w:rsidRPr="00D2215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kém cả</w:t>
      </w:r>
      <w:r w:rsidR="00977D6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thời gian </w:t>
      </w:r>
      <w:r w:rsidR="00D22153" w:rsidRPr="00D22153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lẫn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F46680" w:rsidRPr="00F46680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đầu tư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</w:t>
      </w:r>
      <w:r w:rsidR="00977D6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chỉ vì các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yếu tố ngắn hạn? Vị thế của Việt Nam như một trung tâm sản xuất toàn cầu đang lên không chỉ </w:t>
      </w:r>
      <w:r w:rsidR="001459F7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đến từ</w:t>
      </w:r>
      <w:r w:rsidR="00727BEC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yếu tố địa chính trị mà còn nhờ </w:t>
      </w:r>
      <w:r w:rsidR="00AD1B4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vào</w:t>
      </w:r>
      <w:r w:rsidR="00977D6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973DED" w:rsidRPr="00973DED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các yếu tố </w:t>
      </w:r>
      <w:r w:rsidR="00977D6E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nền tảng </w:t>
      </w:r>
      <w:r w:rsidR="00AD1B4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đang được cải thiện.</w:t>
      </w:r>
    </w:p>
    <w:p w14:paraId="3F3D5863" w14:textId="0BA27D93" w:rsidR="00977D6E" w:rsidRPr="00634EDC" w:rsidRDefault="001459F7" w:rsidP="009B2C1D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Trái ngược với sự bất định trong thương mại, sức </w:t>
      </w:r>
      <w:r w:rsidR="00AD1B4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hút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của Việt Nam </w:t>
      </w:r>
      <w:r w:rsidR="00003A16" w:rsidRPr="00003A16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trong vai tr</w:t>
      </w:r>
      <w:r w:rsidR="00003A16" w:rsidRPr="000B027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ò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một điểm đến du lịch đã gia tăng </w:t>
      </w:r>
      <w:r w:rsidR="00AD1B4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đáng kể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. Ngành du lịch của nước này đã ghi nhận kỷ lục mới </w:t>
      </w:r>
      <w:r w:rsidR="000B027B" w:rsidRPr="000B027B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trong tháng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khi đón hơn hai triệu du khách quốc tế, tăng gần 40% so với cùng kỳ năm trước. Đặc biệt, số lượng khách du lịch từ Trung Quốc đại lục đã tăng gấp đôi so với tháng 1</w:t>
      </w:r>
      <w:r w:rsidR="00AD1B4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/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2024, thu hẹp khoảng cách so với mức cao trước đại dịch từ 36% </w:t>
      </w:r>
      <w:r w:rsidR="00823CE4" w:rsidRPr="00823CE4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tron</w:t>
      </w:r>
      <w:r w:rsidR="00823CE4" w:rsidRPr="006B00D1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g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năm 2024 xuống chỉ còn 10% vào tháng </w:t>
      </w:r>
      <w:r w:rsidR="00AD1B4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1/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2025.</w:t>
      </w:r>
    </w:p>
    <w:p w14:paraId="3EB80659" w14:textId="052E8500" w:rsidR="001459F7" w:rsidRPr="00634EDC" w:rsidRDefault="001459F7" w:rsidP="000F1C6F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Trong khi đó, lạm phát </w:t>
      </w:r>
      <w:r w:rsidR="00AD1B43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tháng 1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tăng 1% so với tháng trước</w:t>
      </w:r>
      <w:r w:rsidR="006B00D1" w:rsidRPr="006B00D1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. Kết quả này đư</w:t>
      </w:r>
      <w:r w:rsidR="006B00D1" w:rsidRPr="004F033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a</w:t>
      </w:r>
      <w:r w:rsidR="004F033F" w:rsidRPr="004F033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lạm </w:t>
      </w:r>
      <w:r w:rsidR="00DA2BEC" w:rsidRPr="00DA2BE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phát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tăng</w:t>
      </w:r>
      <w:r w:rsidR="00B7068D" w:rsidRPr="00B7068D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l</w:t>
      </w:r>
      <w:r w:rsidR="00B7068D" w:rsidRPr="00545F1E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ên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3,6% so với cùng kỳ năm trước, vượt kỳ vọng của thị trường (HSBC: 3,0%; Bloomberg: 3,1%). </w:t>
      </w:r>
      <w:r w:rsidR="00545F1E" w:rsidRPr="00545F1E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Yếu tố gây tăng bất ngờ chủ yếu do giá thực </w:t>
      </w:r>
      <w:r w:rsidR="00545F1E" w:rsidRPr="00545F1E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lastRenderedPageBreak/>
        <w:t>phẩm tăng cao (</w:t>
      </w:r>
      <w:r w:rsidR="000F1C6F" w:rsidRPr="000F1C6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đặc biệt là thịt lợn)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và chi phí y tế (tăng 9,5% so với tháng trước). </w:t>
      </w:r>
      <w:r w:rsidR="000F1C6F" w:rsidRPr="000F1C6F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Mặc dù cũng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cần theo dõi chặt chẽ diễn biến lạm phát, chúng tôi cho rằng đây chưa phải là dấu hiệu đáng lo ngại</w:t>
      </w:r>
      <w:r w:rsidR="000F222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,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vì cả hai yếu tố này đều có </w:t>
      </w:r>
      <w:r w:rsidR="000F222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khả năng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</w:t>
      </w:r>
      <w:r w:rsidR="000F222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mang tính thời vụ 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hoặc </w:t>
      </w:r>
      <w:r w:rsidR="000F222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chỉ là</w:t>
      </w:r>
      <w:r w:rsidR="009035F6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tác động</w:t>
      </w:r>
      <w:r w:rsidR="000F222B"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 xml:space="preserve"> nhất thời</w:t>
      </w:r>
      <w:r w:rsidRPr="00634EDC"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  <w:t>.</w:t>
      </w:r>
    </w:p>
    <w:p w14:paraId="3FB7B280" w14:textId="77777777" w:rsidR="009B25CB" w:rsidRPr="00634EDC" w:rsidRDefault="009B25CB" w:rsidP="009B2C1D">
      <w:pPr>
        <w:spacing w:line="276" w:lineRule="auto"/>
        <w:jc w:val="both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634EDC" w:rsidRPr="000F6750" w14:paraId="1F5F883F" w14:textId="77777777" w:rsidTr="00B006A2">
        <w:tc>
          <w:tcPr>
            <w:tcW w:w="4855" w:type="dxa"/>
          </w:tcPr>
          <w:p w14:paraId="72061973" w14:textId="522DE753" w:rsidR="000F222B" w:rsidRPr="00634EDC" w:rsidRDefault="000F222B" w:rsidP="009B2C1D">
            <w:pPr>
              <w:spacing w:line="276" w:lineRule="auto"/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Biểu đồ 10. Lượng khách quốc tế đến Việt Nam đạt mức cao kỷ lục với hơn 2 triệu lượt </w:t>
            </w:r>
            <w:r w:rsidR="00B006A2" w:rsidRPr="00B006A2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>trong</w:t>
            </w: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 tháng 1</w:t>
            </w:r>
          </w:p>
        </w:tc>
        <w:tc>
          <w:tcPr>
            <w:tcW w:w="4495" w:type="dxa"/>
          </w:tcPr>
          <w:p w14:paraId="6F0B4B95" w14:textId="72F57D86" w:rsidR="000F222B" w:rsidRPr="00634EDC" w:rsidRDefault="000F222B" w:rsidP="009B2C1D">
            <w:pPr>
              <w:spacing w:line="276" w:lineRule="auto"/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Biểu đồ 11. Lạm phát tăng lên mức 3,6% </w:t>
            </w:r>
            <w:r w:rsidR="00B006A2" w:rsidRPr="00B006A2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>trong</w:t>
            </w:r>
            <w:r w:rsidRPr="00634ED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vi-VN"/>
              </w:rPr>
              <w:t xml:space="preserve"> tháng 1, do chi phí thực phẩm và y tế tăng cao</w:t>
            </w:r>
          </w:p>
        </w:tc>
      </w:tr>
      <w:tr w:rsidR="00B006A2" w:rsidRPr="00634EDC" w14:paraId="0F5C9025" w14:textId="77777777" w:rsidTr="00B006A2">
        <w:tc>
          <w:tcPr>
            <w:tcW w:w="4855" w:type="dxa"/>
          </w:tcPr>
          <w:p w14:paraId="2EFA88C4" w14:textId="1F0F9242" w:rsidR="009B2C1D" w:rsidRPr="00634EDC" w:rsidRDefault="009B25CB" w:rsidP="00126BF8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  <w:drawing>
                <wp:inline distT="0" distB="0" distL="0" distR="0" wp14:anchorId="336AAE57" wp14:editId="55AF5DDF">
                  <wp:extent cx="2382982" cy="1805969"/>
                  <wp:effectExtent l="0" t="0" r="0" b="3810"/>
                  <wp:docPr id="14288605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86052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512" cy="1813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</w:tcPr>
          <w:p w14:paraId="5C5DA3AA" w14:textId="0BB56C17" w:rsidR="009B2C1D" w:rsidRPr="00634EDC" w:rsidRDefault="009B25CB" w:rsidP="00126BF8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</w:pPr>
            <w:r w:rsidRPr="00634EDC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vi-VN"/>
              </w:rPr>
              <w:drawing>
                <wp:inline distT="0" distB="0" distL="0" distR="0" wp14:anchorId="4A006C79" wp14:editId="6937EA0E">
                  <wp:extent cx="2254123" cy="1739516"/>
                  <wp:effectExtent l="0" t="0" r="0" b="0"/>
                  <wp:docPr id="19913262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326279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019" cy="1756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380D2" w14:textId="77777777" w:rsidR="009B2C1D" w:rsidRPr="00634EDC" w:rsidRDefault="009B2C1D" w:rsidP="009B2C1D">
      <w:pPr>
        <w:spacing w:line="276" w:lineRule="auto"/>
        <w:rPr>
          <w:rFonts w:ascii="Calibri" w:hAnsi="Calibri" w:cs="Calibri"/>
          <w:noProof/>
          <w:color w:val="000000" w:themeColor="text1"/>
          <w:sz w:val="20"/>
          <w:szCs w:val="20"/>
          <w:lang w:val="vi-VN"/>
        </w:rPr>
      </w:pPr>
    </w:p>
    <w:sectPr w:rsidR="009B2C1D" w:rsidRPr="00634EDC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D9CC" w14:textId="77777777" w:rsidR="0084294A" w:rsidRDefault="0084294A" w:rsidP="009B25CB">
      <w:pPr>
        <w:spacing w:after="0" w:line="240" w:lineRule="auto"/>
      </w:pPr>
      <w:r>
        <w:separator/>
      </w:r>
    </w:p>
  </w:endnote>
  <w:endnote w:type="continuationSeparator" w:id="0">
    <w:p w14:paraId="2E71D93C" w14:textId="77777777" w:rsidR="0084294A" w:rsidRDefault="0084294A" w:rsidP="009B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0822" w14:textId="476582F9" w:rsidR="009B25CB" w:rsidRDefault="009B25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5E6400" wp14:editId="187DF13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959460737" name="MSIPCM2e5e469698f3b61957609f65" descr="{&quot;HashCode&quot;:-27324065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E4723" w14:textId="14B783AA" w:rsidR="009B25CB" w:rsidRPr="009B25CB" w:rsidRDefault="009B25CB" w:rsidP="009B25C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B25C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E6400" id="_x0000_t202" coordsize="21600,21600" o:spt="202" path="m,l,21600r21600,l21600,xe">
              <v:stroke joinstyle="miter"/>
              <v:path gradientshapeok="t" o:connecttype="rect"/>
            </v:shapetype>
            <v:shape id="MSIPCM2e5e469698f3b61957609f65" o:spid="_x0000_s1027" type="#_x0000_t202" alt="{&quot;HashCode&quot;:-27324065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78BE4723" w14:textId="14B783AA" w:rsidR="009B25CB" w:rsidRPr="009B25CB" w:rsidRDefault="009B25CB" w:rsidP="009B25C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B25CB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DE74" w14:textId="77777777" w:rsidR="0084294A" w:rsidRDefault="0084294A" w:rsidP="009B25CB">
      <w:pPr>
        <w:spacing w:after="0" w:line="240" w:lineRule="auto"/>
      </w:pPr>
      <w:r>
        <w:separator/>
      </w:r>
    </w:p>
  </w:footnote>
  <w:footnote w:type="continuationSeparator" w:id="0">
    <w:p w14:paraId="0D302CD6" w14:textId="77777777" w:rsidR="0084294A" w:rsidRDefault="0084294A" w:rsidP="009B2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32497"/>
    <w:multiLevelType w:val="hybridMultilevel"/>
    <w:tmpl w:val="D3342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68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86"/>
    <w:rsid w:val="00003A16"/>
    <w:rsid w:val="00011FB5"/>
    <w:rsid w:val="000313AB"/>
    <w:rsid w:val="0005374F"/>
    <w:rsid w:val="0008191C"/>
    <w:rsid w:val="00090F41"/>
    <w:rsid w:val="00092CD7"/>
    <w:rsid w:val="000A2D77"/>
    <w:rsid w:val="000B023F"/>
    <w:rsid w:val="000B027B"/>
    <w:rsid w:val="000C1E13"/>
    <w:rsid w:val="000D780D"/>
    <w:rsid w:val="000E394B"/>
    <w:rsid w:val="000E404F"/>
    <w:rsid w:val="000E449B"/>
    <w:rsid w:val="000E7BC2"/>
    <w:rsid w:val="000F1C6F"/>
    <w:rsid w:val="000F222B"/>
    <w:rsid w:val="000F57C3"/>
    <w:rsid w:val="000F6750"/>
    <w:rsid w:val="00105EEC"/>
    <w:rsid w:val="00126BF8"/>
    <w:rsid w:val="001459F7"/>
    <w:rsid w:val="00147507"/>
    <w:rsid w:val="00166F5E"/>
    <w:rsid w:val="00167812"/>
    <w:rsid w:val="00183651"/>
    <w:rsid w:val="001A209E"/>
    <w:rsid w:val="001B4441"/>
    <w:rsid w:val="001B5F63"/>
    <w:rsid w:val="001C4141"/>
    <w:rsid w:val="001E356B"/>
    <w:rsid w:val="001E71E8"/>
    <w:rsid w:val="001F31E7"/>
    <w:rsid w:val="001F65AF"/>
    <w:rsid w:val="00217F38"/>
    <w:rsid w:val="00221D5F"/>
    <w:rsid w:val="002416C0"/>
    <w:rsid w:val="00241807"/>
    <w:rsid w:val="00241E67"/>
    <w:rsid w:val="002462C4"/>
    <w:rsid w:val="002468A6"/>
    <w:rsid w:val="00252472"/>
    <w:rsid w:val="00265F99"/>
    <w:rsid w:val="0029545C"/>
    <w:rsid w:val="00297CD3"/>
    <w:rsid w:val="002B2FF9"/>
    <w:rsid w:val="002B4F2E"/>
    <w:rsid w:val="002D4BB9"/>
    <w:rsid w:val="002D4C87"/>
    <w:rsid w:val="002D56C1"/>
    <w:rsid w:val="002E7104"/>
    <w:rsid w:val="002F1C68"/>
    <w:rsid w:val="002F4830"/>
    <w:rsid w:val="00300AAE"/>
    <w:rsid w:val="003145C5"/>
    <w:rsid w:val="003244E2"/>
    <w:rsid w:val="0033496D"/>
    <w:rsid w:val="0033630F"/>
    <w:rsid w:val="00345E45"/>
    <w:rsid w:val="00365889"/>
    <w:rsid w:val="00366564"/>
    <w:rsid w:val="00373DDB"/>
    <w:rsid w:val="003A1888"/>
    <w:rsid w:val="003B38ED"/>
    <w:rsid w:val="003C1B90"/>
    <w:rsid w:val="003C617D"/>
    <w:rsid w:val="003D6F96"/>
    <w:rsid w:val="003E5419"/>
    <w:rsid w:val="003E61A7"/>
    <w:rsid w:val="003F6D3C"/>
    <w:rsid w:val="004028EA"/>
    <w:rsid w:val="0040467F"/>
    <w:rsid w:val="004068BA"/>
    <w:rsid w:val="004074F7"/>
    <w:rsid w:val="00411480"/>
    <w:rsid w:val="004131F3"/>
    <w:rsid w:val="00416992"/>
    <w:rsid w:val="004178C6"/>
    <w:rsid w:val="0042175F"/>
    <w:rsid w:val="0042339B"/>
    <w:rsid w:val="00430FEC"/>
    <w:rsid w:val="00435CCB"/>
    <w:rsid w:val="00441A81"/>
    <w:rsid w:val="00443691"/>
    <w:rsid w:val="0045644C"/>
    <w:rsid w:val="00461035"/>
    <w:rsid w:val="004B0C7C"/>
    <w:rsid w:val="004C776F"/>
    <w:rsid w:val="004D214C"/>
    <w:rsid w:val="004F033F"/>
    <w:rsid w:val="005419EC"/>
    <w:rsid w:val="00545F1E"/>
    <w:rsid w:val="00557F6E"/>
    <w:rsid w:val="00563B90"/>
    <w:rsid w:val="00585086"/>
    <w:rsid w:val="005C027B"/>
    <w:rsid w:val="005F58BA"/>
    <w:rsid w:val="00615E1A"/>
    <w:rsid w:val="00624444"/>
    <w:rsid w:val="00630676"/>
    <w:rsid w:val="00632806"/>
    <w:rsid w:val="00634EDC"/>
    <w:rsid w:val="0063536A"/>
    <w:rsid w:val="00642D63"/>
    <w:rsid w:val="00656A2D"/>
    <w:rsid w:val="006653A2"/>
    <w:rsid w:val="00674E23"/>
    <w:rsid w:val="00680AD3"/>
    <w:rsid w:val="006B00D1"/>
    <w:rsid w:val="006B532D"/>
    <w:rsid w:val="006B6EBF"/>
    <w:rsid w:val="006C707E"/>
    <w:rsid w:val="006D244F"/>
    <w:rsid w:val="006D574C"/>
    <w:rsid w:val="006E08BA"/>
    <w:rsid w:val="006F531E"/>
    <w:rsid w:val="007049CD"/>
    <w:rsid w:val="00705519"/>
    <w:rsid w:val="00710E7C"/>
    <w:rsid w:val="007125AA"/>
    <w:rsid w:val="00727BEC"/>
    <w:rsid w:val="00730ADF"/>
    <w:rsid w:val="00737337"/>
    <w:rsid w:val="007411B2"/>
    <w:rsid w:val="007567BA"/>
    <w:rsid w:val="0075722A"/>
    <w:rsid w:val="007711D7"/>
    <w:rsid w:val="00780D55"/>
    <w:rsid w:val="007915E4"/>
    <w:rsid w:val="007936F4"/>
    <w:rsid w:val="007A5843"/>
    <w:rsid w:val="007D362F"/>
    <w:rsid w:val="00801D62"/>
    <w:rsid w:val="00812C1D"/>
    <w:rsid w:val="00822457"/>
    <w:rsid w:val="00823CE4"/>
    <w:rsid w:val="008266B4"/>
    <w:rsid w:val="00827DDE"/>
    <w:rsid w:val="0084294A"/>
    <w:rsid w:val="008447F1"/>
    <w:rsid w:val="00866FE7"/>
    <w:rsid w:val="00896196"/>
    <w:rsid w:val="00896271"/>
    <w:rsid w:val="008A4577"/>
    <w:rsid w:val="008B1C66"/>
    <w:rsid w:val="008B1D89"/>
    <w:rsid w:val="008C0449"/>
    <w:rsid w:val="008D7FBF"/>
    <w:rsid w:val="008F32D7"/>
    <w:rsid w:val="008F6818"/>
    <w:rsid w:val="00900F73"/>
    <w:rsid w:val="00901240"/>
    <w:rsid w:val="009035F6"/>
    <w:rsid w:val="00917903"/>
    <w:rsid w:val="00921C7B"/>
    <w:rsid w:val="00932A3D"/>
    <w:rsid w:val="0093470D"/>
    <w:rsid w:val="00937170"/>
    <w:rsid w:val="009538EA"/>
    <w:rsid w:val="00962442"/>
    <w:rsid w:val="00973DED"/>
    <w:rsid w:val="00976C1B"/>
    <w:rsid w:val="00977D6E"/>
    <w:rsid w:val="009A68A6"/>
    <w:rsid w:val="009A6C45"/>
    <w:rsid w:val="009A79B4"/>
    <w:rsid w:val="009A79C8"/>
    <w:rsid w:val="009B25CB"/>
    <w:rsid w:val="009B2C1D"/>
    <w:rsid w:val="009C7C3D"/>
    <w:rsid w:val="009E14E6"/>
    <w:rsid w:val="009E5B49"/>
    <w:rsid w:val="009F7F0A"/>
    <w:rsid w:val="00A02B1A"/>
    <w:rsid w:val="00A0301A"/>
    <w:rsid w:val="00A125DF"/>
    <w:rsid w:val="00A14BF9"/>
    <w:rsid w:val="00A16198"/>
    <w:rsid w:val="00A3528C"/>
    <w:rsid w:val="00A4305E"/>
    <w:rsid w:val="00A43F2D"/>
    <w:rsid w:val="00A45784"/>
    <w:rsid w:val="00A701FD"/>
    <w:rsid w:val="00A7631F"/>
    <w:rsid w:val="00A76D1B"/>
    <w:rsid w:val="00A813B3"/>
    <w:rsid w:val="00AA5E20"/>
    <w:rsid w:val="00AB2C0B"/>
    <w:rsid w:val="00AB2CAC"/>
    <w:rsid w:val="00AB3B29"/>
    <w:rsid w:val="00AB7CC7"/>
    <w:rsid w:val="00AD1B43"/>
    <w:rsid w:val="00AD5223"/>
    <w:rsid w:val="00B006A2"/>
    <w:rsid w:val="00B10DFE"/>
    <w:rsid w:val="00B261AC"/>
    <w:rsid w:val="00B314ED"/>
    <w:rsid w:val="00B64152"/>
    <w:rsid w:val="00B644BC"/>
    <w:rsid w:val="00B7068D"/>
    <w:rsid w:val="00B811F2"/>
    <w:rsid w:val="00B92A5F"/>
    <w:rsid w:val="00B955DD"/>
    <w:rsid w:val="00B9760B"/>
    <w:rsid w:val="00BC6239"/>
    <w:rsid w:val="00BE4960"/>
    <w:rsid w:val="00C1021D"/>
    <w:rsid w:val="00C104A3"/>
    <w:rsid w:val="00C50D0F"/>
    <w:rsid w:val="00C56CD7"/>
    <w:rsid w:val="00C63424"/>
    <w:rsid w:val="00C74EC3"/>
    <w:rsid w:val="00C96D84"/>
    <w:rsid w:val="00CB16CA"/>
    <w:rsid w:val="00CE1287"/>
    <w:rsid w:val="00CF0FAF"/>
    <w:rsid w:val="00CF33A7"/>
    <w:rsid w:val="00D01295"/>
    <w:rsid w:val="00D01DA1"/>
    <w:rsid w:val="00D037CA"/>
    <w:rsid w:val="00D04995"/>
    <w:rsid w:val="00D04D21"/>
    <w:rsid w:val="00D12D27"/>
    <w:rsid w:val="00D22153"/>
    <w:rsid w:val="00D27C5A"/>
    <w:rsid w:val="00D32C4D"/>
    <w:rsid w:val="00D33DB8"/>
    <w:rsid w:val="00D34798"/>
    <w:rsid w:val="00D379CA"/>
    <w:rsid w:val="00D433AC"/>
    <w:rsid w:val="00D466C6"/>
    <w:rsid w:val="00D575AE"/>
    <w:rsid w:val="00D62F1B"/>
    <w:rsid w:val="00D670C8"/>
    <w:rsid w:val="00D76BDD"/>
    <w:rsid w:val="00D93818"/>
    <w:rsid w:val="00D958F9"/>
    <w:rsid w:val="00D95A12"/>
    <w:rsid w:val="00DA2BEC"/>
    <w:rsid w:val="00DA2DB6"/>
    <w:rsid w:val="00DA624E"/>
    <w:rsid w:val="00DA6768"/>
    <w:rsid w:val="00DC3281"/>
    <w:rsid w:val="00DE673F"/>
    <w:rsid w:val="00E173ED"/>
    <w:rsid w:val="00E3271E"/>
    <w:rsid w:val="00E40FAF"/>
    <w:rsid w:val="00E43182"/>
    <w:rsid w:val="00E7365D"/>
    <w:rsid w:val="00E826BC"/>
    <w:rsid w:val="00E852F7"/>
    <w:rsid w:val="00EA6311"/>
    <w:rsid w:val="00EA6662"/>
    <w:rsid w:val="00ED3ACE"/>
    <w:rsid w:val="00ED7EDD"/>
    <w:rsid w:val="00EF34EA"/>
    <w:rsid w:val="00F16811"/>
    <w:rsid w:val="00F17692"/>
    <w:rsid w:val="00F176A3"/>
    <w:rsid w:val="00F17844"/>
    <w:rsid w:val="00F22978"/>
    <w:rsid w:val="00F25E70"/>
    <w:rsid w:val="00F32A8C"/>
    <w:rsid w:val="00F46680"/>
    <w:rsid w:val="00F47008"/>
    <w:rsid w:val="00F80EE9"/>
    <w:rsid w:val="00F92EAD"/>
    <w:rsid w:val="00FB1489"/>
    <w:rsid w:val="00FB223E"/>
    <w:rsid w:val="00FB4F26"/>
    <w:rsid w:val="00FC5D59"/>
    <w:rsid w:val="00FD0815"/>
    <w:rsid w:val="00FD540E"/>
    <w:rsid w:val="00FE2ADF"/>
    <w:rsid w:val="00FF03FC"/>
    <w:rsid w:val="00FF32FC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51626"/>
  <w15:chartTrackingRefBased/>
  <w15:docId w15:val="{70B37DF4-EDA6-49FD-A590-D3D8102B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5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85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0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0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0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0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0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0C7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B2C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2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5CB"/>
  </w:style>
  <w:style w:type="paragraph" w:styleId="Footer">
    <w:name w:val="footer"/>
    <w:basedOn w:val="Normal"/>
    <w:link w:val="FooterChar"/>
    <w:uiPriority w:val="99"/>
    <w:unhideWhenUsed/>
    <w:rsid w:val="009B2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5CB"/>
  </w:style>
  <w:style w:type="paragraph" w:customStyle="1" w:styleId="awbg0w">
    <w:name w:val="awbg0w"/>
    <w:basedOn w:val="Normal"/>
    <w:rsid w:val="003E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90F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F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3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A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3A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A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1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9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5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0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49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42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4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9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69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0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02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76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7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5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6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95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8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42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29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F264D-6E8A-46EB-AFA8-FA48B941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TRAN</dc:creator>
  <cp:keywords/>
  <dc:description/>
  <cp:lastModifiedBy>Phuong1 NGUYEN</cp:lastModifiedBy>
  <cp:revision>8</cp:revision>
  <dcterms:created xsi:type="dcterms:W3CDTF">2025-02-10T10:37:00Z</dcterms:created>
  <dcterms:modified xsi:type="dcterms:W3CDTF">2025-02-11T01:49:00Z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86a02c-2dfb-4efe-823f-aa2d1f0e6ab7_Enabled">
    <vt:lpwstr>true</vt:lpwstr>
  </property>
  <property fmtid="{D5CDD505-2E9C-101B-9397-08002B2CF9AE}" pid="3" name="MSIP_Label_3486a02c-2dfb-4efe-823f-aa2d1f0e6ab7_SetDate">
    <vt:lpwstr>2025-02-11T02:02:46Z</vt:lpwstr>
  </property>
  <property fmtid="{D5CDD505-2E9C-101B-9397-08002B2CF9AE}" pid="4" name="MSIP_Label_3486a02c-2dfb-4efe-823f-aa2d1f0e6ab7_Method">
    <vt:lpwstr>Privileged</vt:lpwstr>
  </property>
  <property fmtid="{D5CDD505-2E9C-101B-9397-08002B2CF9AE}" pid="5" name="MSIP_Label_3486a02c-2dfb-4efe-823f-aa2d1f0e6ab7_Name">
    <vt:lpwstr>CLAPUBLIC</vt:lpwstr>
  </property>
  <property fmtid="{D5CDD505-2E9C-101B-9397-08002B2CF9AE}" pid="6" name="MSIP_Label_3486a02c-2dfb-4efe-823f-aa2d1f0e6ab7_SiteId">
    <vt:lpwstr>e0fd434d-ba64-497b-90d2-859c472e1a92</vt:lpwstr>
  </property>
  <property fmtid="{D5CDD505-2E9C-101B-9397-08002B2CF9AE}" pid="7" name="MSIP_Label_3486a02c-2dfb-4efe-823f-aa2d1f0e6ab7_ActionId">
    <vt:lpwstr>e0d5ab0f-6856-4b68-938b-1829f4a75cde</vt:lpwstr>
  </property>
  <property fmtid="{D5CDD505-2E9C-101B-9397-08002B2CF9AE}" pid="8" name="MSIP_Label_3486a02c-2dfb-4efe-823f-aa2d1f0e6ab7_ContentBits">
    <vt:lpwstr>0</vt:lpwstr>
  </property>
  <property fmtid="{D5CDD505-2E9C-101B-9397-08002B2CF9AE}" pid="9" name="Classification">
    <vt:lpwstr>PUBLIC</vt:lpwstr>
  </property>
</Properties>
</file>